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9EF" w14:textId="77777777" w:rsidR="00EF2CFE" w:rsidRPr="00892B63" w:rsidRDefault="00312ABE" w:rsidP="00681ED9">
      <w:pPr>
        <w:pStyle w:val="Heading1"/>
        <w:spacing w:before="120" w:after="0"/>
        <w:rPr>
          <w:rFonts w:ascii="Rockwell" w:hAnsi="Rockwell"/>
          <w:color w:val="002060"/>
        </w:rPr>
      </w:pPr>
      <w:r w:rsidRPr="00892B63">
        <w:rPr>
          <w:rFonts w:ascii="Rockwell" w:hAnsi="Rockwell"/>
          <w:color w:val="002060"/>
        </w:rPr>
        <w:t>Electronic Visit Verification</w:t>
      </w:r>
      <w:r w:rsidR="00AB7481" w:rsidRPr="00892B63">
        <w:rPr>
          <w:rFonts w:ascii="Rockwell" w:hAnsi="Rockwell"/>
          <w:color w:val="002060"/>
        </w:rPr>
        <w:t xml:space="preserve"> (EVV)</w:t>
      </w:r>
    </w:p>
    <w:p w14:paraId="038F8DCA" w14:textId="6AAAB55A" w:rsidR="00312ABE" w:rsidRPr="00892B63" w:rsidRDefault="0041570D" w:rsidP="0041570D">
      <w:pPr>
        <w:pStyle w:val="Heading1"/>
        <w:spacing w:before="0"/>
        <w:rPr>
          <w:sz w:val="32"/>
          <w:szCs w:val="28"/>
        </w:rPr>
      </w:pPr>
      <w:r w:rsidRPr="00892B63">
        <w:rPr>
          <w:sz w:val="32"/>
          <w:szCs w:val="28"/>
        </w:rPr>
        <w:t>EVV Vendor Transition Overview</w:t>
      </w:r>
    </w:p>
    <w:p w14:paraId="2E60CE36" w14:textId="47F51520" w:rsidR="006F0587" w:rsidRPr="002E4F43" w:rsidRDefault="006F0587" w:rsidP="006F0587">
      <w:pPr>
        <w:pStyle w:val="BodyTextafterheading"/>
      </w:pPr>
      <w:r>
        <w:t xml:space="preserve">On April 26, 2022, Texas </w:t>
      </w:r>
      <w:proofErr w:type="gramStart"/>
      <w:r>
        <w:t>Health</w:t>
      </w:r>
      <w:proofErr w:type="gramEnd"/>
      <w:r>
        <w:t xml:space="preserve"> and Human Services (HHSC) posted a solicitation for EVV System Management Services. Through a competitive selection process, HHSC has selected </w:t>
      </w:r>
      <w:r w:rsidRPr="00DC3175">
        <w:rPr>
          <w:b/>
          <w:bCs/>
        </w:rPr>
        <w:t>Accenture State Healthcare Services LLC</w:t>
      </w:r>
      <w:r>
        <w:rPr>
          <w:b/>
          <w:bCs/>
        </w:rPr>
        <w:t xml:space="preserve"> </w:t>
      </w:r>
      <w:r>
        <w:t>for this contract. Accenture will continue to be known as the Texas Medicaid &amp; Healthcare Partnership (TMHP) for this contract. Accentu</w:t>
      </w:r>
      <w:r w:rsidRPr="002E4F43">
        <w:t xml:space="preserve">re is partnering with </w:t>
      </w:r>
      <w:proofErr w:type="spellStart"/>
      <w:r w:rsidRPr="002E4F43">
        <w:rPr>
          <w:b/>
        </w:rPr>
        <w:t>HHAeXchange</w:t>
      </w:r>
      <w:proofErr w:type="spellEnd"/>
      <w:r w:rsidRPr="002E4F43">
        <w:t xml:space="preserve"> to provide a new, single EVV vendor system.</w:t>
      </w:r>
    </w:p>
    <w:p w14:paraId="52D3C5E2" w14:textId="77777777" w:rsidR="006F0587" w:rsidRPr="002E4F43" w:rsidRDefault="006F0587" w:rsidP="006F0587">
      <w:pPr>
        <w:pStyle w:val="BodyText"/>
      </w:pPr>
      <w:r w:rsidRPr="002E4F43">
        <w:t>Accenture’s responsibilities will include:</w:t>
      </w:r>
    </w:p>
    <w:p w14:paraId="215B47E5" w14:textId="77777777" w:rsidR="006F0587" w:rsidRPr="002E4F43" w:rsidRDefault="006F0587" w:rsidP="006F0587">
      <w:pPr>
        <w:pStyle w:val="ListBullet"/>
      </w:pPr>
      <w:r w:rsidRPr="002E4F43">
        <w:t xml:space="preserve">Providing and managing the new single </w:t>
      </w:r>
      <w:proofErr w:type="gramStart"/>
      <w:r w:rsidRPr="002E4F43">
        <w:t>state-funded</w:t>
      </w:r>
      <w:proofErr w:type="gramEnd"/>
      <w:r w:rsidRPr="002E4F43">
        <w:t xml:space="preserve"> EVV vendor system provided by </w:t>
      </w:r>
      <w:proofErr w:type="spellStart"/>
      <w:r w:rsidRPr="002E4F43">
        <w:t>HHAeXchange</w:t>
      </w:r>
      <w:proofErr w:type="spellEnd"/>
      <w:r w:rsidRPr="002E4F43">
        <w:t xml:space="preserve"> </w:t>
      </w:r>
    </w:p>
    <w:p w14:paraId="45E1D908" w14:textId="77777777" w:rsidR="006F0587" w:rsidRPr="002E4F43" w:rsidRDefault="006F0587" w:rsidP="006F0587">
      <w:pPr>
        <w:pStyle w:val="ListBullet"/>
      </w:pPr>
      <w:r w:rsidRPr="002E4F43">
        <w:t>Reviewing and approving EVV proprietary systems</w:t>
      </w:r>
    </w:p>
    <w:p w14:paraId="044FF4A2" w14:textId="77777777" w:rsidR="006F0587" w:rsidRPr="002E4F43" w:rsidRDefault="006F0587" w:rsidP="006F0587">
      <w:pPr>
        <w:pStyle w:val="ListBullet"/>
      </w:pPr>
      <w:r w:rsidRPr="002E4F43">
        <w:t>Coordinating EVV system integration with the EVV Aggregator</w:t>
      </w:r>
    </w:p>
    <w:p w14:paraId="0A688D79" w14:textId="77777777" w:rsidR="006F0587" w:rsidRPr="002E4F43" w:rsidRDefault="006F0587" w:rsidP="006F0587">
      <w:pPr>
        <w:pStyle w:val="ListBullet"/>
      </w:pPr>
      <w:r w:rsidRPr="002E4F43">
        <w:t>Providing operational and technical support for the functions listed above</w:t>
      </w:r>
    </w:p>
    <w:p w14:paraId="68080B49" w14:textId="77777777" w:rsidR="006F0587" w:rsidRPr="002E4F43" w:rsidRDefault="006F0587" w:rsidP="006F0587">
      <w:pPr>
        <w:pStyle w:val="BodyText"/>
      </w:pPr>
      <w:r w:rsidRPr="002E4F43">
        <w:t xml:space="preserve">Users of the current EVV vendor systems (DataLogic/Vesta or First Data/AuthentiCare) must transition to HHAX or receive approval as an EVV Proprietary System Operator </w:t>
      </w:r>
      <w:r w:rsidRPr="002E4F43">
        <w:rPr>
          <w:b/>
          <w:bCs/>
        </w:rPr>
        <w:t>by Oct. 1, 2023</w:t>
      </w:r>
      <w:r w:rsidRPr="002E4F43">
        <w:t xml:space="preserve">. As a reminder, EVV is required for </w:t>
      </w:r>
      <w:hyperlink r:id="rId11">
        <w:r w:rsidRPr="002E4F43">
          <w:rPr>
            <w:rStyle w:val="Hyperlink"/>
            <w:rFonts w:ascii="Verdana" w:hAnsi="Verdana"/>
          </w:rPr>
          <w:t>Medicaid personal care services (PDF)</w:t>
        </w:r>
      </w:hyperlink>
      <w:r w:rsidRPr="002E4F43">
        <w:t xml:space="preserve"> and will be required for </w:t>
      </w:r>
      <w:hyperlink r:id="rId12">
        <w:r w:rsidRPr="002E4F43">
          <w:rPr>
            <w:rStyle w:val="Hyperlink"/>
            <w:rFonts w:ascii="Verdana" w:hAnsi="Verdana"/>
          </w:rPr>
          <w:t>Medicaid home health care services (PDF)</w:t>
        </w:r>
      </w:hyperlink>
      <w:r w:rsidRPr="002E4F43">
        <w:t xml:space="preserve"> starting Jan. 1, 2024.</w:t>
      </w:r>
    </w:p>
    <w:p w14:paraId="17A5CF6E" w14:textId="77777777" w:rsidR="006F0587" w:rsidRDefault="006F0587" w:rsidP="006F0587">
      <w:pPr>
        <w:pStyle w:val="BodyText"/>
      </w:pPr>
      <w:r w:rsidRPr="002E4F43">
        <w:t xml:space="preserve">New users to EVV, due to the Cures Act home health care services implementation will be able to practice using </w:t>
      </w:r>
      <w:proofErr w:type="spellStart"/>
      <w:r w:rsidRPr="002E4F43">
        <w:t>HHAeXchangeor</w:t>
      </w:r>
      <w:proofErr w:type="spellEnd"/>
      <w:r w:rsidRPr="002E4F43">
        <w:t xml:space="preserve"> an approved proprietary system once they have onboarded. HHSC will post more information for this audience in a future notice.</w:t>
      </w:r>
    </w:p>
    <w:p w14:paraId="0D7F4A9E" w14:textId="47E3249D" w:rsidR="006F0587" w:rsidRDefault="006F0587" w:rsidP="006F0587">
      <w:pPr>
        <w:pStyle w:val="BodyText"/>
      </w:pPr>
      <w:r w:rsidRPr="00892B63">
        <w:t>An overview related to this transition is listed below</w:t>
      </w:r>
      <w:r>
        <w:t>. D</w:t>
      </w:r>
      <w:r w:rsidRPr="00892B63">
        <w:t xml:space="preserve">etails and resources </w:t>
      </w:r>
      <w:r>
        <w:t xml:space="preserve">will continue to be posted </w:t>
      </w:r>
      <w:r w:rsidRPr="00892B63">
        <w:t>as they become available.</w:t>
      </w:r>
    </w:p>
    <w:p w14:paraId="1A41BB07" w14:textId="564B86BC" w:rsidR="0041570D" w:rsidRPr="00892B63" w:rsidRDefault="0041570D" w:rsidP="0041570D">
      <w:pPr>
        <w:pStyle w:val="Heading2"/>
      </w:pPr>
      <w:r w:rsidRPr="00892B63">
        <w:t>Transition</w:t>
      </w:r>
    </w:p>
    <w:p w14:paraId="2A7CB436" w14:textId="1362DACA" w:rsidR="0041570D" w:rsidRPr="00892B63" w:rsidRDefault="0041570D" w:rsidP="0041570D">
      <w:pPr>
        <w:pStyle w:val="BodyTextafterheading"/>
      </w:pPr>
      <w:r w:rsidRPr="00892B63">
        <w:rPr>
          <w:b/>
          <w:bCs/>
        </w:rPr>
        <w:t>By Oct. 1, 2023</w:t>
      </w:r>
      <w:r w:rsidRPr="00892B63">
        <w:t xml:space="preserve">, program providers, financial management services agencies (FMSAs), Consumer Directed Services employers (CDS) and service providers using the current EVV vendor systems (DataLogic/Vesta or First Data/AuthentiCare) must transition to </w:t>
      </w:r>
      <w:proofErr w:type="spellStart"/>
      <w:r w:rsidR="00C2591A">
        <w:t>HHAeXchange</w:t>
      </w:r>
      <w:proofErr w:type="spellEnd"/>
      <w:r w:rsidR="00171CC4" w:rsidRPr="00892B63">
        <w:t xml:space="preserve"> </w:t>
      </w:r>
      <w:r w:rsidRPr="00892B63">
        <w:t>if they are not approved to use a proprietary system. This means completing EVV training requirements and EVV system onboarding by Oct. 1, 2023.</w:t>
      </w:r>
    </w:p>
    <w:p w14:paraId="2F433902" w14:textId="71B14CDB" w:rsidR="0041570D" w:rsidRPr="00892B63" w:rsidRDefault="0041570D" w:rsidP="0041570D">
      <w:pPr>
        <w:pStyle w:val="Heading2"/>
        <w:rPr>
          <w:bCs/>
        </w:rPr>
      </w:pPr>
      <w:r w:rsidRPr="00892B63">
        <w:rPr>
          <w:bCs/>
        </w:rPr>
        <w:lastRenderedPageBreak/>
        <w:t>EVV Cures Act Home Health Care Services Implementation</w:t>
      </w:r>
    </w:p>
    <w:p w14:paraId="60885732" w14:textId="199D8963" w:rsidR="0041570D" w:rsidRPr="00892B63" w:rsidRDefault="0041570D" w:rsidP="0041570D">
      <w:pPr>
        <w:pStyle w:val="BodyTextafterheading"/>
      </w:pPr>
      <w:r w:rsidRPr="00892B63">
        <w:t xml:space="preserve">EVV will be required for </w:t>
      </w:r>
      <w:hyperlink r:id="rId13">
        <w:r w:rsidRPr="00892B63">
          <w:rPr>
            <w:rStyle w:val="Hyperlink"/>
            <w:rFonts w:cstheme="minorBidi"/>
          </w:rPr>
          <w:t>Medicaid home health care services (PDF)</w:t>
        </w:r>
      </w:hyperlink>
      <w:r w:rsidRPr="00892B63">
        <w:t xml:space="preserve"> starting Jan. 1, 2024. The Cures Act </w:t>
      </w:r>
      <w:r w:rsidR="00535F11">
        <w:t>H</w:t>
      </w:r>
      <w:r w:rsidRPr="00892B63">
        <w:t xml:space="preserve">ome </w:t>
      </w:r>
      <w:r w:rsidR="00535F11">
        <w:t>H</w:t>
      </w:r>
      <w:r w:rsidRPr="00892B63">
        <w:t xml:space="preserve">ealth </w:t>
      </w:r>
      <w:r w:rsidR="00535F11">
        <w:t>C</w:t>
      </w:r>
      <w:r w:rsidRPr="00892B63">
        <w:t xml:space="preserve">are </w:t>
      </w:r>
      <w:r w:rsidR="00535F11">
        <w:t>S</w:t>
      </w:r>
      <w:r w:rsidRPr="00892B63">
        <w:t xml:space="preserve">ervices </w:t>
      </w:r>
      <w:r w:rsidR="001058F5">
        <w:t xml:space="preserve">(HHCS) </w:t>
      </w:r>
      <w:r w:rsidRPr="00892B63">
        <w:t>implementation will include a practice period from Oct. 1, 2023, through Dec. 31, 2023, to practice using an EVV system and to practice EVV claims matching</w:t>
      </w:r>
      <w:r w:rsidR="00BF549B">
        <w:t>. This</w:t>
      </w:r>
      <w:r w:rsidRPr="00892B63">
        <w:t xml:space="preserve"> means </w:t>
      </w:r>
      <w:r w:rsidR="00EA3A51">
        <w:t xml:space="preserve">HHCS </w:t>
      </w:r>
      <w:r w:rsidR="004A4588">
        <w:t xml:space="preserve">claims </w:t>
      </w:r>
      <w:r w:rsidRPr="00892B63">
        <w:t>during the practice period</w:t>
      </w:r>
      <w:r w:rsidR="004A4588">
        <w:t xml:space="preserve"> </w:t>
      </w:r>
      <w:r w:rsidRPr="00892B63">
        <w:t>will not deny if they do not have a matching EVV visit.</w:t>
      </w:r>
    </w:p>
    <w:p w14:paraId="39DE5FE6" w14:textId="7A24EEE0" w:rsidR="0041570D" w:rsidRPr="00892B63" w:rsidRDefault="0041570D" w:rsidP="0041570D">
      <w:pPr>
        <w:pStyle w:val="BodyText"/>
      </w:pPr>
      <w:r w:rsidRPr="00892B63">
        <w:t>HHSC will post more information in a future notice, such as onboarding dates and other deadlines for new users to EVV.</w:t>
      </w:r>
    </w:p>
    <w:p w14:paraId="75ED0B05" w14:textId="48FE5CBC" w:rsidR="0041570D" w:rsidRPr="00892B63" w:rsidRDefault="0041570D" w:rsidP="0041570D">
      <w:pPr>
        <w:pStyle w:val="Heading2"/>
        <w:rPr>
          <w:bCs/>
        </w:rPr>
      </w:pPr>
      <w:r w:rsidRPr="00892B63">
        <w:rPr>
          <w:bCs/>
        </w:rPr>
        <w:t>Training Requirements</w:t>
      </w:r>
    </w:p>
    <w:p w14:paraId="15DB2DE2" w14:textId="77777777" w:rsidR="0041570D" w:rsidRPr="00892B63" w:rsidRDefault="0041570D" w:rsidP="0041570D">
      <w:pPr>
        <w:rPr>
          <w:rFonts w:ascii="Verdana" w:hAnsi="Verdana"/>
        </w:rPr>
      </w:pPr>
      <w:r w:rsidRPr="00892B63">
        <w:rPr>
          <w:rFonts w:ascii="Verdana" w:hAnsi="Verdana"/>
        </w:rPr>
        <w:t>The</w:t>
      </w:r>
      <w:hyperlink r:id="rId14" w:anchor="4000" w:tgtFrame="_blank" w:tooltip="https://www.hhs.texas.gov/handbooks/electronic-visit-verification-policy-handbook/4000-evv-system-setup#4000" w:history="1">
        <w:r w:rsidRPr="00892B63">
          <w:rPr>
            <w:rStyle w:val="Hyperlink"/>
            <w:rFonts w:ascii="Verdana" w:hAnsi="Verdana"/>
          </w:rPr>
          <w:t> HHSC EVV Training Policy</w:t>
        </w:r>
      </w:hyperlink>
      <w:r w:rsidRPr="00892B63">
        <w:rPr>
          <w:rFonts w:ascii="Verdana" w:hAnsi="Verdana"/>
        </w:rPr>
        <w:t xml:space="preserve"> requires program providers, FMSAs and CDS employers and any staff who perform EVV system operations to complete all required EVV training:</w:t>
      </w:r>
    </w:p>
    <w:p w14:paraId="147C004F" w14:textId="77777777" w:rsidR="0041570D" w:rsidRPr="00892B63" w:rsidRDefault="0041570D" w:rsidP="00CA0FB7">
      <w:pPr>
        <w:pStyle w:val="ListBullet"/>
      </w:pPr>
      <w:r w:rsidRPr="00892B63">
        <w:t>Prior to using either the EVV vendor system or an EVV proprietary system; and</w:t>
      </w:r>
    </w:p>
    <w:p w14:paraId="74249BEE" w14:textId="77777777" w:rsidR="0041570D" w:rsidRPr="00892B63" w:rsidRDefault="0041570D" w:rsidP="00CA0FB7">
      <w:pPr>
        <w:pStyle w:val="ListBullet"/>
      </w:pPr>
      <w:r w:rsidRPr="00892B63">
        <w:t>Yearly thereafter.</w:t>
      </w:r>
    </w:p>
    <w:p w14:paraId="3B7EF35F" w14:textId="5F42778A" w:rsidR="0041570D" w:rsidRPr="00892B63" w:rsidRDefault="0041570D" w:rsidP="0041570D">
      <w:pPr>
        <w:pStyle w:val="BodyText"/>
      </w:pPr>
      <w:r w:rsidRPr="00892B63">
        <w:t xml:space="preserve">Therefore, program providers, FMSAs and CDS employers that transition to </w:t>
      </w:r>
      <w:proofErr w:type="spellStart"/>
      <w:r w:rsidR="00C2591A">
        <w:t>HHAeXchange</w:t>
      </w:r>
      <w:proofErr w:type="spellEnd"/>
      <w:r w:rsidR="00171CC4" w:rsidRPr="00892B63">
        <w:t xml:space="preserve"> </w:t>
      </w:r>
      <w:r w:rsidRPr="00892B63">
        <w:t>or a proprietary system must complete the required EVV system training before using the system. CDS employers must use the EVV system chosen by their FMSAs.</w:t>
      </w:r>
    </w:p>
    <w:p w14:paraId="104B4B5F" w14:textId="0D121115" w:rsidR="0041570D" w:rsidRPr="00892B63" w:rsidRDefault="0041570D" w:rsidP="0041570D">
      <w:pPr>
        <w:pStyle w:val="BodyText"/>
      </w:pPr>
      <w:r w:rsidRPr="00892B63">
        <w:t xml:space="preserve">Program providers and CDS employers that transition to </w:t>
      </w:r>
      <w:proofErr w:type="spellStart"/>
      <w:r w:rsidR="00C2591A">
        <w:t>HHAeXchange</w:t>
      </w:r>
      <w:proofErr w:type="spellEnd"/>
      <w:r w:rsidR="00171CC4" w:rsidRPr="00892B63">
        <w:t xml:space="preserve"> </w:t>
      </w:r>
      <w:r w:rsidRPr="00892B63">
        <w:t>or a proprietary system must train their service providers and CDS employees on the systems’ clock in and clock out methods.</w:t>
      </w:r>
    </w:p>
    <w:p w14:paraId="33973668" w14:textId="3128C5D7" w:rsidR="0041570D" w:rsidRPr="00892B63" w:rsidRDefault="0041570D" w:rsidP="0041570D">
      <w:pPr>
        <w:pStyle w:val="BodyText"/>
      </w:pPr>
      <w:r w:rsidRPr="00892B63">
        <w:t>When transferring to a new EVV system, FMSAs must notify CDS employers 60 days in advance of the planned Go-Live date to allow time for re-training CDS employers and their CDS employees. The Go-Live date is the date the FMSA begins using a new EVV system.</w:t>
      </w:r>
    </w:p>
    <w:p w14:paraId="39ED6060" w14:textId="77777777" w:rsidR="0041570D" w:rsidRPr="00892B63" w:rsidRDefault="0041570D" w:rsidP="0041570D">
      <w:pPr>
        <w:pStyle w:val="BodyText"/>
        <w:rPr>
          <w:rFonts w:ascii="Verdana" w:hAnsi="Verdana"/>
        </w:rPr>
      </w:pPr>
      <w:r w:rsidRPr="00892B63">
        <w:rPr>
          <w:rFonts w:ascii="Verdana" w:hAnsi="Verdana"/>
        </w:rPr>
        <w:t xml:space="preserve">Reference the </w:t>
      </w:r>
      <w:hyperlink r:id="rId15" w:history="1">
        <w:r w:rsidRPr="00892B63">
          <w:rPr>
            <w:rStyle w:val="Hyperlink"/>
            <w:rFonts w:ascii="Verdana" w:hAnsi="Verdana"/>
          </w:rPr>
          <w:t>EVV Training Requirements Checklists (PDF)</w:t>
        </w:r>
      </w:hyperlink>
      <w:r w:rsidRPr="00892B63">
        <w:rPr>
          <w:rFonts w:ascii="Verdana" w:hAnsi="Verdana"/>
        </w:rPr>
        <w:t xml:space="preserve"> to help identify which trainings to complete and refer to sections 4200 through 4250 of the </w:t>
      </w:r>
      <w:hyperlink r:id="rId16" w:anchor="4200" w:history="1">
        <w:r w:rsidRPr="00892B63">
          <w:rPr>
            <w:rStyle w:val="Hyperlink"/>
            <w:rFonts w:ascii="Verdana" w:hAnsi="Verdana"/>
          </w:rPr>
          <w:t>EVV Policy Handbook</w:t>
        </w:r>
      </w:hyperlink>
      <w:r w:rsidRPr="00892B63">
        <w:rPr>
          <w:rFonts w:ascii="Verdana" w:hAnsi="Verdana"/>
        </w:rPr>
        <w:t xml:space="preserve"> for training requirements policy.</w:t>
      </w:r>
    </w:p>
    <w:p w14:paraId="61386FF6" w14:textId="69AB033E" w:rsidR="0041570D" w:rsidRPr="00892B63" w:rsidRDefault="00C2591A" w:rsidP="0041570D">
      <w:pPr>
        <w:pStyle w:val="BodyText"/>
      </w:pPr>
      <w:proofErr w:type="spellStart"/>
      <w:r>
        <w:t>HHAeXchange</w:t>
      </w:r>
      <w:proofErr w:type="spellEnd"/>
      <w:r w:rsidR="002F4704" w:rsidRPr="00892B63">
        <w:t xml:space="preserve"> </w:t>
      </w:r>
      <w:r w:rsidR="0041570D" w:rsidRPr="00892B63">
        <w:t>training</w:t>
      </w:r>
      <w:r w:rsidR="00AE31A5">
        <w:t>s</w:t>
      </w:r>
      <w:r w:rsidR="0041570D" w:rsidRPr="00892B63">
        <w:t xml:space="preserve"> </w:t>
      </w:r>
      <w:r w:rsidR="00AE31A5">
        <w:t xml:space="preserve">will begin at the end of June. For training </w:t>
      </w:r>
      <w:r w:rsidR="0041570D" w:rsidRPr="00892B63">
        <w:t xml:space="preserve">timelines, </w:t>
      </w:r>
      <w:proofErr w:type="gramStart"/>
      <w:r w:rsidR="0041570D" w:rsidRPr="00892B63">
        <w:t>materials</w:t>
      </w:r>
      <w:proofErr w:type="gramEnd"/>
      <w:r w:rsidR="0041570D" w:rsidRPr="00892B63">
        <w:t xml:space="preserve"> and resources, reference the </w:t>
      </w:r>
      <w:hyperlink r:id="rId17" w:history="1">
        <w:proofErr w:type="spellStart"/>
        <w:r w:rsidR="0041570D" w:rsidRPr="00892B63">
          <w:rPr>
            <w:rStyle w:val="Hyperlink"/>
            <w:rFonts w:ascii="Verdana" w:hAnsi="Verdana"/>
          </w:rPr>
          <w:t>HHAeXchange</w:t>
        </w:r>
        <w:proofErr w:type="spellEnd"/>
        <w:r w:rsidR="0041570D" w:rsidRPr="00892B63">
          <w:rPr>
            <w:rStyle w:val="Hyperlink"/>
            <w:rFonts w:ascii="Verdana" w:hAnsi="Verdana"/>
          </w:rPr>
          <w:t xml:space="preserve"> Texas web page</w:t>
        </w:r>
      </w:hyperlink>
      <w:r w:rsidR="0041570D" w:rsidRPr="00892B63">
        <w:t>.</w:t>
      </w:r>
    </w:p>
    <w:p w14:paraId="75346152" w14:textId="103328C6" w:rsidR="0041570D" w:rsidRPr="00892B63" w:rsidRDefault="0041570D" w:rsidP="0041570D">
      <w:pPr>
        <w:pStyle w:val="Heading2"/>
        <w:rPr>
          <w:bCs/>
        </w:rPr>
      </w:pPr>
      <w:r w:rsidRPr="00892B63">
        <w:rPr>
          <w:bCs/>
        </w:rPr>
        <w:lastRenderedPageBreak/>
        <w:t>Proprietary Systems</w:t>
      </w:r>
    </w:p>
    <w:p w14:paraId="3471186B" w14:textId="77777777" w:rsidR="0041570D" w:rsidRPr="00892B63" w:rsidRDefault="0041570D" w:rsidP="0041570D">
      <w:pPr>
        <w:pStyle w:val="BodyTextafterheading"/>
      </w:pPr>
      <w:r w:rsidRPr="00892B63">
        <w:t>Program providers and FMSAs</w:t>
      </w:r>
      <w:r w:rsidRPr="00892B63" w:rsidDel="001A53FB">
        <w:t xml:space="preserve"> </w:t>
      </w:r>
      <w:r w:rsidRPr="00892B63">
        <w:t xml:space="preserve">that would like to become an HHSC-approved EVV Proprietary System Operator (PSO) can apply by submitting a request form through the </w:t>
      </w:r>
      <w:hyperlink r:id="rId18">
        <w:r w:rsidRPr="00892B63">
          <w:rPr>
            <w:rStyle w:val="Hyperlink"/>
            <w:rFonts w:ascii="Verdana" w:hAnsi="Verdana"/>
          </w:rPr>
          <w:t>TMHP EVV Proprietary Systems web page</w:t>
        </w:r>
      </w:hyperlink>
      <w:r w:rsidRPr="00892B63">
        <w:t xml:space="preserve">. </w:t>
      </w:r>
    </w:p>
    <w:p w14:paraId="71C29A1C" w14:textId="77777777" w:rsidR="0041570D" w:rsidRPr="00892B63" w:rsidRDefault="0041570D" w:rsidP="0041570D">
      <w:pPr>
        <w:pStyle w:val="BodyText"/>
      </w:pPr>
      <w:r w:rsidRPr="00892B63">
        <w:t>HHSC developed a special abbreviated PSO onboarding Path,</w:t>
      </w:r>
      <w:r w:rsidRPr="00892B63">
        <w:rPr>
          <w:b/>
          <w:bCs/>
        </w:rPr>
        <w:t> Session 4 Operational Readiness Review (ORR)</w:t>
      </w:r>
      <w:r w:rsidRPr="00892B63">
        <w:t>, to enable program providers and FMSAs to onboard with a previously approved proprietary system or a proprietary system participating in the Session 3 Standard Path ORR. Please refer to the </w:t>
      </w:r>
      <w:hyperlink r:id="rId19" w:tgtFrame="_blank" w:history="1">
        <w:r w:rsidRPr="00892B63">
          <w:rPr>
            <w:rStyle w:val="Hyperlink"/>
            <w:rFonts w:ascii="Verdana" w:hAnsi="Verdana"/>
          </w:rPr>
          <w:t>EVV Proprietary Systems Approved by HHSC (PDF)</w:t>
        </w:r>
      </w:hyperlink>
      <w:r w:rsidRPr="00892B63">
        <w:t> document and the </w:t>
      </w:r>
      <w:hyperlink r:id="rId20" w:tgtFrame="_blank" w:history="1">
        <w:r w:rsidRPr="00892B63">
          <w:rPr>
            <w:rStyle w:val="Hyperlink"/>
            <w:rFonts w:ascii="Verdana" w:hAnsi="Verdana"/>
          </w:rPr>
          <w:t>EVV Proprietary Systems Undergoing ORR (PDF)</w:t>
        </w:r>
      </w:hyperlink>
      <w:r w:rsidRPr="00892B63">
        <w:t> document for a list of eligible proprietary systems for Session 4 ORR.</w:t>
      </w:r>
    </w:p>
    <w:p w14:paraId="519F0AD3" w14:textId="77777777" w:rsidR="0041570D" w:rsidRPr="00892B63" w:rsidRDefault="0041570D" w:rsidP="006823C1">
      <w:pPr>
        <w:pStyle w:val="BodyText"/>
      </w:pPr>
      <w:r w:rsidRPr="00892B63">
        <w:t>Currently, all scheduled onboarding sessions are full; however, HHSC encourages anyone interested to submit their request form to be added to the waitlist. HHSC anticipates scheduling future Expedited Path and Standard Path ORR sessions as scheduling and resource constraints allow. Continue to check the TMHP EVV Proprietary Systems webpage for information and new ORR Paths and schedules.</w:t>
      </w:r>
    </w:p>
    <w:p w14:paraId="5D6F14CC" w14:textId="77777777" w:rsidR="0041570D" w:rsidRPr="00892B63" w:rsidRDefault="0041570D" w:rsidP="0041570D">
      <w:pPr>
        <w:pStyle w:val="BodyText"/>
      </w:pPr>
      <w:r w:rsidRPr="00892B63">
        <w:t xml:space="preserve">Please refer to the following information about continuing to use the current EVV vendor systems (DataLogic/Vesta and First Data/AuthentiCare): </w:t>
      </w:r>
    </w:p>
    <w:p w14:paraId="42ABDC2D" w14:textId="77777777" w:rsidR="00BC4320" w:rsidRDefault="0041570D" w:rsidP="00CA0FB7">
      <w:pPr>
        <w:pStyle w:val="ListBullet"/>
      </w:pPr>
      <w:r w:rsidRPr="00892B63">
        <w:t>DataLogic/Vesta is currently being reviewed to become a proprietary system through the Session 3 Standard Path ORR. Therefore, program providers and FMSAs who want to continue using this system can request participation in a future special abbreviated PSO Onboarding Path, Session 4 ORR, as the currently scheduled Session 4 ORRs are full.</w:t>
      </w:r>
    </w:p>
    <w:p w14:paraId="15AFE77C" w14:textId="3EE06C69" w:rsidR="0041570D" w:rsidRPr="00BC4320" w:rsidRDefault="0041570D" w:rsidP="00CA0FB7">
      <w:pPr>
        <w:pStyle w:val="ListBullet"/>
      </w:pPr>
      <w:r w:rsidRPr="00BC4320">
        <w:rPr>
          <w:rFonts w:ascii="Verdana" w:hAnsi="Verdana"/>
        </w:rPr>
        <w:t>First Data/AuthentiCare is not an approved proprietary system and is not currently being reviewed to become an approved proprietary system.</w:t>
      </w:r>
    </w:p>
    <w:p w14:paraId="78BABFF2" w14:textId="50E04AD9" w:rsidR="0041570D" w:rsidRPr="00892B63" w:rsidRDefault="0041570D" w:rsidP="0041570D">
      <w:pPr>
        <w:pStyle w:val="Heading2"/>
        <w:rPr>
          <w:bCs/>
        </w:rPr>
      </w:pPr>
      <w:r w:rsidRPr="00892B63">
        <w:rPr>
          <w:bCs/>
        </w:rPr>
        <w:t xml:space="preserve">CDS Employer Option – </w:t>
      </w:r>
      <w:bookmarkStart w:id="0" w:name="_Hlk134025568"/>
      <w:r w:rsidRPr="00892B63">
        <w:rPr>
          <w:bCs/>
        </w:rPr>
        <w:t>Form 1722</w:t>
      </w:r>
      <w:r w:rsidR="00993831">
        <w:rPr>
          <w:bCs/>
        </w:rPr>
        <w:t>,</w:t>
      </w:r>
      <w:r w:rsidRPr="00892B63">
        <w:rPr>
          <w:bCs/>
        </w:rPr>
        <w:t xml:space="preserve"> CDS Employer's Selection for Electronic Visit Verification Responsibilities</w:t>
      </w:r>
      <w:bookmarkEnd w:id="0"/>
    </w:p>
    <w:p w14:paraId="5623F2AD" w14:textId="161F2580" w:rsidR="0041570D" w:rsidRPr="00892B63" w:rsidRDefault="0041570D" w:rsidP="0041570D">
      <w:pPr>
        <w:pStyle w:val="BodyTextafterheading"/>
      </w:pPr>
      <w:r w:rsidRPr="00892B63">
        <w:t xml:space="preserve">CDS employers who wish to keep their current selection for their EVV responsibilities do not have to submit another form 1722. The original selection will transfer to </w:t>
      </w:r>
      <w:proofErr w:type="spellStart"/>
      <w:r w:rsidR="00C2591A">
        <w:t>HHAeXchange</w:t>
      </w:r>
      <w:proofErr w:type="spellEnd"/>
      <w:r w:rsidRPr="00892B63">
        <w:t xml:space="preserve">. A </w:t>
      </w:r>
      <w:hyperlink r:id="rId21" w:history="1">
        <w:r w:rsidRPr="00892B63">
          <w:rPr>
            <w:rStyle w:val="Hyperlink"/>
            <w:rFonts w:cstheme="minorBidi"/>
          </w:rPr>
          <w:t>new form 1722</w:t>
        </w:r>
      </w:hyperlink>
      <w:r w:rsidRPr="00892B63">
        <w:t xml:space="preserve"> must be submitted if the CDS employer wants to change their EVV responsibilities.</w:t>
      </w:r>
    </w:p>
    <w:p w14:paraId="38049E7D" w14:textId="77777777" w:rsidR="0041570D" w:rsidRPr="00892B63" w:rsidRDefault="0041570D" w:rsidP="0041570D">
      <w:pPr>
        <w:pStyle w:val="Heading2"/>
        <w:rPr>
          <w:bCs/>
        </w:rPr>
      </w:pPr>
      <w:r w:rsidRPr="00892B63">
        <w:rPr>
          <w:bCs/>
        </w:rPr>
        <w:t>Alternative Devices</w:t>
      </w:r>
    </w:p>
    <w:p w14:paraId="25C3D905" w14:textId="355B238F" w:rsidR="0041570D" w:rsidRPr="00892B63" w:rsidRDefault="0041570D" w:rsidP="0041570D">
      <w:pPr>
        <w:pStyle w:val="BodyTextafterheading"/>
      </w:pPr>
      <w:proofErr w:type="spellStart"/>
      <w:r w:rsidRPr="00892B63">
        <w:t>HHAeXchange</w:t>
      </w:r>
      <w:proofErr w:type="spellEnd"/>
      <w:r w:rsidRPr="00892B63">
        <w:t xml:space="preserve"> provides all three </w:t>
      </w:r>
      <w:proofErr w:type="gramStart"/>
      <w:r w:rsidRPr="00892B63">
        <w:t>clock</w:t>
      </w:r>
      <w:proofErr w:type="gramEnd"/>
      <w:r w:rsidRPr="00892B63">
        <w:t xml:space="preserve"> in and clock out methods:</w:t>
      </w:r>
    </w:p>
    <w:p w14:paraId="0FB5634E" w14:textId="0EDC0388" w:rsidR="0041570D" w:rsidRPr="00892B63" w:rsidRDefault="0041570D" w:rsidP="00CA0FB7">
      <w:pPr>
        <w:pStyle w:val="ListBullet"/>
      </w:pPr>
      <w:r w:rsidRPr="00892B63">
        <w:lastRenderedPageBreak/>
        <w:t>Mobile application</w:t>
      </w:r>
    </w:p>
    <w:p w14:paraId="3CAF5185" w14:textId="37BB30C5" w:rsidR="0041570D" w:rsidRPr="00892B63" w:rsidRDefault="0041570D" w:rsidP="00CA0FB7">
      <w:pPr>
        <w:pStyle w:val="ListBullet"/>
      </w:pPr>
      <w:r w:rsidRPr="00892B63">
        <w:t>Home phone landline</w:t>
      </w:r>
    </w:p>
    <w:p w14:paraId="58A63309" w14:textId="32A33DD0" w:rsidR="0041570D" w:rsidRPr="00892B63" w:rsidRDefault="0041570D" w:rsidP="00CA0FB7">
      <w:pPr>
        <w:pStyle w:val="ListBullet"/>
      </w:pPr>
      <w:r w:rsidRPr="00892B63">
        <w:t>Alternative devices (ADs)</w:t>
      </w:r>
    </w:p>
    <w:p w14:paraId="0873F2B9" w14:textId="6DDB4E25" w:rsidR="0041570D" w:rsidRPr="00892B63" w:rsidRDefault="0041570D" w:rsidP="0041570D">
      <w:pPr>
        <w:pStyle w:val="BodyText"/>
      </w:pPr>
      <w:r w:rsidRPr="00892B63">
        <w:t xml:space="preserve">Through the transition to </w:t>
      </w:r>
      <w:proofErr w:type="spellStart"/>
      <w:r w:rsidRPr="00892B63">
        <w:t>HH</w:t>
      </w:r>
      <w:r w:rsidR="007927B4">
        <w:t>AeXchange</w:t>
      </w:r>
      <w:proofErr w:type="spellEnd"/>
      <w:r w:rsidRPr="00892B63">
        <w:t>, HHSC is modernizing EVV by reducing the use and availability of ADs.</w:t>
      </w:r>
    </w:p>
    <w:p w14:paraId="6333534F" w14:textId="5CD2B8C4" w:rsidR="0041570D" w:rsidRPr="00892B63" w:rsidRDefault="0041570D" w:rsidP="00AC4829">
      <w:pPr>
        <w:pStyle w:val="BodyText"/>
      </w:pPr>
      <w:r w:rsidRPr="00892B63">
        <w:t>ADs will only be available in limited quantities for exceptional circumstances. HHSC plans to publish a policy this summer that provides the guidelines for the issuance of ADs. Program providers, FMSAs and CDS employers should prepare for the reduction of ADs by discussing clock in and clock out options with service providers and members.</w:t>
      </w:r>
    </w:p>
    <w:p w14:paraId="4E1D6069" w14:textId="1B072A12" w:rsidR="0041570D" w:rsidRPr="00892B63" w:rsidRDefault="0041570D" w:rsidP="0041570D">
      <w:pPr>
        <w:pStyle w:val="BodyText"/>
        <w:rPr>
          <w:rFonts w:ascii="Verdana" w:hAnsi="Verdana"/>
        </w:rPr>
      </w:pPr>
      <w:r w:rsidRPr="00892B63">
        <w:rPr>
          <w:rFonts w:ascii="Verdana" w:hAnsi="Verdana"/>
        </w:rPr>
        <w:t xml:space="preserve">Training </w:t>
      </w:r>
      <w:r w:rsidRPr="00892B63">
        <w:t>is</w:t>
      </w:r>
      <w:r w:rsidRPr="00892B63">
        <w:rPr>
          <w:rFonts w:ascii="Verdana" w:hAnsi="Verdana"/>
        </w:rPr>
        <w:t xml:space="preserve"> required on the clock in and clock out methods. Refer to the </w:t>
      </w:r>
      <w:hyperlink r:id="rId22" w:history="1">
        <w:r w:rsidRPr="00892B63">
          <w:rPr>
            <w:rStyle w:val="Hyperlink"/>
            <w:rFonts w:ascii="Verdana" w:hAnsi="Verdana"/>
          </w:rPr>
          <w:t>EVV Training Requirements Checklists (PDF)</w:t>
        </w:r>
      </w:hyperlink>
      <w:r w:rsidRPr="00892B63">
        <w:rPr>
          <w:rFonts w:ascii="Verdana" w:hAnsi="Verdana"/>
        </w:rPr>
        <w:t xml:space="preserve"> for more information and details about EVV training requirements.</w:t>
      </w:r>
    </w:p>
    <w:p w14:paraId="7CE5B978" w14:textId="6A98AC44" w:rsidR="0041570D" w:rsidRPr="00892B63" w:rsidRDefault="0041570D" w:rsidP="0041570D">
      <w:pPr>
        <w:pStyle w:val="Heading2"/>
      </w:pPr>
      <w:r w:rsidRPr="00892B63">
        <w:t>Resources</w:t>
      </w:r>
    </w:p>
    <w:p w14:paraId="7E15939D" w14:textId="3FB22BB6" w:rsidR="0041570D" w:rsidRPr="00892B63" w:rsidRDefault="0041570D" w:rsidP="0041570D">
      <w:pPr>
        <w:pStyle w:val="Heading3"/>
      </w:pPr>
      <w:r w:rsidRPr="00892B63">
        <w:t>HHSC</w:t>
      </w:r>
    </w:p>
    <w:p w14:paraId="2AC1371B" w14:textId="555FE6A9" w:rsidR="00C27611" w:rsidRDefault="00E30FE7" w:rsidP="00CA0FB7">
      <w:pPr>
        <w:pStyle w:val="ListBullet"/>
      </w:pPr>
      <w:r>
        <w:t xml:space="preserve">By end of May, </w:t>
      </w:r>
      <w:r w:rsidR="0041570D" w:rsidRPr="00892B63">
        <w:t xml:space="preserve">HHSC </w:t>
      </w:r>
      <w:r>
        <w:t xml:space="preserve">will </w:t>
      </w:r>
      <w:r w:rsidR="009C6ABE">
        <w:t xml:space="preserve">post a document with frequently asked questions related to </w:t>
      </w:r>
      <w:r w:rsidR="006C5C59">
        <w:t xml:space="preserve">the vendor transition. A GovDelivery notice will announce </w:t>
      </w:r>
      <w:r w:rsidR="00897159">
        <w:t>when the document is available</w:t>
      </w:r>
      <w:r w:rsidR="006C5C59">
        <w:t>.</w:t>
      </w:r>
    </w:p>
    <w:p w14:paraId="71377D26" w14:textId="6D36D571" w:rsidR="0041570D" w:rsidRDefault="00B32B4E" w:rsidP="00CA0FB7">
      <w:pPr>
        <w:pStyle w:val="ListBullet"/>
      </w:pPr>
      <w:hyperlink r:id="rId23" w:history="1">
        <w:r w:rsidR="0041570D" w:rsidRPr="00892B63">
          <w:rPr>
            <w:rStyle w:val="Hyperlink"/>
            <w:rFonts w:ascii="Verdana" w:hAnsi="Verdana"/>
          </w:rPr>
          <w:t>Sign up for GovDelivery to receive new EVV notices by email.</w:t>
        </w:r>
      </w:hyperlink>
      <w:r w:rsidR="0041570D" w:rsidRPr="00892B63">
        <w:t xml:space="preserve"> People who are required to use EVV must be signed up for GovDelivery.</w:t>
      </w:r>
    </w:p>
    <w:p w14:paraId="52245B41" w14:textId="77777777" w:rsidR="0041570D" w:rsidRPr="00892B63" w:rsidRDefault="0041570D" w:rsidP="00CA0FB7">
      <w:pPr>
        <w:pStyle w:val="ListBullet"/>
      </w:pPr>
      <w:r w:rsidRPr="00892B63">
        <w:t xml:space="preserve">Reference the </w:t>
      </w:r>
      <w:hyperlink r:id="rId24" w:history="1">
        <w:r w:rsidRPr="00892B63">
          <w:rPr>
            <w:rStyle w:val="Hyperlink"/>
            <w:rFonts w:ascii="Verdana" w:hAnsi="Verdana"/>
          </w:rPr>
          <w:t>HHSC EVV web page</w:t>
        </w:r>
      </w:hyperlink>
      <w:r w:rsidRPr="00892B63">
        <w:t xml:space="preserve"> for current resources, such as the EVV Personal Care Services Service Bill Codes Table.</w:t>
      </w:r>
    </w:p>
    <w:p w14:paraId="57CDAE18" w14:textId="77777777" w:rsidR="0041570D" w:rsidRPr="00892B63" w:rsidRDefault="0041570D" w:rsidP="00CA0FB7">
      <w:pPr>
        <w:pStyle w:val="ListBullet"/>
        <w:rPr>
          <w:b/>
          <w:bCs/>
          <w:sz w:val="28"/>
          <w:szCs w:val="28"/>
        </w:rPr>
      </w:pPr>
      <w:r w:rsidRPr="00892B63">
        <w:t xml:space="preserve">Reference the </w:t>
      </w:r>
      <w:hyperlink r:id="rId25" w:history="1">
        <w:r w:rsidRPr="00892B63">
          <w:rPr>
            <w:rStyle w:val="Hyperlink"/>
            <w:rFonts w:ascii="Verdana" w:hAnsi="Verdana"/>
          </w:rPr>
          <w:t>HHSC 21st Century Cures Act web page</w:t>
        </w:r>
      </w:hyperlink>
      <w:r w:rsidRPr="00892B63">
        <w:t xml:space="preserve"> for information and resources specific to the home health care services EVV expansion, such as FAQs and EVV Home Health Care Services Service Bill Codes Table.</w:t>
      </w:r>
    </w:p>
    <w:p w14:paraId="3143C76D" w14:textId="75F271AE" w:rsidR="0041570D" w:rsidRPr="00892B63" w:rsidRDefault="0041570D" w:rsidP="0041570D">
      <w:pPr>
        <w:pStyle w:val="Heading3"/>
      </w:pPr>
      <w:r w:rsidRPr="00892B63">
        <w:t xml:space="preserve">Accenture </w:t>
      </w:r>
      <w:r w:rsidR="00B66106" w:rsidRPr="00892B63">
        <w:t>(TMHP)</w:t>
      </w:r>
    </w:p>
    <w:p w14:paraId="088FC375" w14:textId="29E1BCA7" w:rsidR="0041570D" w:rsidRPr="00892B63" w:rsidRDefault="00B32B4E" w:rsidP="0041570D">
      <w:pPr>
        <w:pStyle w:val="BodyTextafterheading"/>
      </w:pPr>
      <w:hyperlink r:id="rId26" w:history="1">
        <w:r w:rsidR="0041570D" w:rsidRPr="00892B63">
          <w:rPr>
            <w:rStyle w:val="Hyperlink"/>
            <w:rFonts w:cstheme="minorBidi"/>
          </w:rPr>
          <w:t>TMHP EVV web page</w:t>
        </w:r>
      </w:hyperlink>
    </w:p>
    <w:p w14:paraId="540F21CB" w14:textId="1E02BBF2" w:rsidR="002716C8" w:rsidRPr="00892B63" w:rsidRDefault="002716C8" w:rsidP="002716C8">
      <w:pPr>
        <w:pStyle w:val="Heading3"/>
      </w:pPr>
      <w:proofErr w:type="spellStart"/>
      <w:r w:rsidRPr="00892B63">
        <w:t>HHAeXchange</w:t>
      </w:r>
      <w:proofErr w:type="spellEnd"/>
    </w:p>
    <w:p w14:paraId="4C72C67B" w14:textId="60274971" w:rsidR="002716C8" w:rsidRPr="00892B63" w:rsidRDefault="00B32B4E" w:rsidP="002716C8">
      <w:pPr>
        <w:pStyle w:val="BodyTextafterheading"/>
      </w:pPr>
      <w:hyperlink r:id="rId27" w:history="1">
        <w:proofErr w:type="spellStart"/>
        <w:r w:rsidR="002716C8" w:rsidRPr="00892B63">
          <w:rPr>
            <w:rStyle w:val="Hyperlink"/>
            <w:rFonts w:cstheme="minorBidi"/>
          </w:rPr>
          <w:t>HHAeXchange</w:t>
        </w:r>
        <w:proofErr w:type="spellEnd"/>
        <w:r w:rsidR="002716C8" w:rsidRPr="00892B63">
          <w:rPr>
            <w:rStyle w:val="Hyperlink"/>
            <w:rFonts w:cstheme="minorBidi"/>
          </w:rPr>
          <w:t xml:space="preserve"> Texas web page</w:t>
        </w:r>
      </w:hyperlink>
    </w:p>
    <w:p w14:paraId="5E3967BD" w14:textId="046EE18D" w:rsidR="002716C8" w:rsidRPr="00892B63" w:rsidRDefault="002716C8" w:rsidP="002716C8">
      <w:pPr>
        <w:pStyle w:val="Heading2"/>
      </w:pPr>
      <w:r w:rsidRPr="00892B63">
        <w:lastRenderedPageBreak/>
        <w:t>Contact Information</w:t>
      </w:r>
    </w:p>
    <w:p w14:paraId="6E7A05C4" w14:textId="4B42664F" w:rsidR="002716C8" w:rsidRPr="00892B63" w:rsidRDefault="002716C8" w:rsidP="002716C8">
      <w:pPr>
        <w:pStyle w:val="BodyTextafterheading"/>
      </w:pPr>
      <w:r w:rsidRPr="00892B63">
        <w:t>Please continue contacting DataLogic/Vesta or First Data/AuthentiCare while using their systems.</w:t>
      </w:r>
    </w:p>
    <w:p w14:paraId="5A3C34C0" w14:textId="7E3A705C" w:rsidR="002716C8" w:rsidRPr="00892B63" w:rsidRDefault="002716C8" w:rsidP="002716C8">
      <w:pPr>
        <w:pStyle w:val="BodyText"/>
      </w:pPr>
      <w:r w:rsidRPr="00892B63">
        <w:t xml:space="preserve">For questions or more information about the new EVV vendor system, email </w:t>
      </w:r>
      <w:proofErr w:type="spellStart"/>
      <w:r w:rsidR="00951D7A" w:rsidRPr="00951D7A">
        <w:t>HHAeXchange</w:t>
      </w:r>
      <w:proofErr w:type="spellEnd"/>
      <w:r w:rsidRPr="00892B63">
        <w:t xml:space="preserve"> at </w:t>
      </w:r>
      <w:hyperlink r:id="rId28" w:history="1">
        <w:r w:rsidR="00502D2F" w:rsidRPr="00892B63">
          <w:rPr>
            <w:rStyle w:val="Hyperlink"/>
            <w:rFonts w:cstheme="minorBidi"/>
          </w:rPr>
          <w:t>TXsupport@hhaexchange.com</w:t>
        </w:r>
      </w:hyperlink>
      <w:r w:rsidRPr="00892B63">
        <w:t>.</w:t>
      </w:r>
      <w:r w:rsidRPr="00892B63" w:rsidDel="009B080A">
        <w:t xml:space="preserve"> </w:t>
      </w:r>
    </w:p>
    <w:p w14:paraId="52C09007" w14:textId="77777777" w:rsidR="002716C8" w:rsidRPr="00892B63" w:rsidRDefault="002716C8" w:rsidP="002716C8">
      <w:pPr>
        <w:pStyle w:val="BodyText"/>
      </w:pPr>
      <w:r w:rsidRPr="00892B63">
        <w:t xml:space="preserve">For general EVV questions or questions about EVV Policy, email HHSC EVV Operations at </w:t>
      </w:r>
      <w:hyperlink r:id="rId29" w:history="1">
        <w:r w:rsidRPr="00892B63">
          <w:rPr>
            <w:rStyle w:val="Hyperlink"/>
            <w:rFonts w:ascii="Verdana" w:hAnsi="Verdana"/>
          </w:rPr>
          <w:t>EVV@hhs.texas.gov</w:t>
        </w:r>
      </w:hyperlink>
      <w:r w:rsidRPr="00892B63">
        <w:t>.</w:t>
      </w:r>
    </w:p>
    <w:p w14:paraId="2CCF80D8" w14:textId="4062340F" w:rsidR="002716C8" w:rsidRPr="002716C8" w:rsidRDefault="002716C8" w:rsidP="002716C8">
      <w:pPr>
        <w:pStyle w:val="BodyText"/>
      </w:pPr>
      <w:r w:rsidRPr="00892B63">
        <w:t>For questions about other program requirements, contact your program.</w:t>
      </w:r>
    </w:p>
    <w:sectPr w:rsidR="002716C8" w:rsidRPr="002716C8" w:rsidSect="00B82468">
      <w:headerReference w:type="default" r:id="rId30"/>
      <w:footerReference w:type="default" r:id="rId31"/>
      <w:footerReference w:type="first" r:id="rId32"/>
      <w:footnotePr>
        <w:numFmt w:val="lowerLetter"/>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4605" w14:textId="77777777" w:rsidR="00904791" w:rsidRDefault="00904791" w:rsidP="000E59DE">
      <w:r>
        <w:separator/>
      </w:r>
    </w:p>
    <w:p w14:paraId="4056FBF8" w14:textId="77777777" w:rsidR="00904791" w:rsidRDefault="00904791" w:rsidP="000E59DE"/>
  </w:endnote>
  <w:endnote w:type="continuationSeparator" w:id="0">
    <w:p w14:paraId="664010D6" w14:textId="77777777" w:rsidR="00904791" w:rsidRDefault="00904791" w:rsidP="000E59DE">
      <w:r>
        <w:continuationSeparator/>
      </w:r>
    </w:p>
    <w:p w14:paraId="42D2C240" w14:textId="77777777" w:rsidR="00904791" w:rsidRDefault="00904791" w:rsidP="000E59DE"/>
  </w:endnote>
  <w:endnote w:type="continuationNotice" w:id="1">
    <w:p w14:paraId="156CA622" w14:textId="77777777" w:rsidR="00904791" w:rsidRPr="00BE23B2" w:rsidRDefault="00904791" w:rsidP="000E59DE"/>
    <w:p w14:paraId="042E2F8F" w14:textId="77777777" w:rsidR="00904791" w:rsidRDefault="00904791" w:rsidP="000E5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0FA1" w14:textId="1B67D908" w:rsidR="005F2FCD" w:rsidRPr="006F0587" w:rsidRDefault="005F2FCD" w:rsidP="006F058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83FC" w14:textId="77777777" w:rsidR="00101F54" w:rsidRPr="00DC3247" w:rsidRDefault="00101F54" w:rsidP="00101F54">
    <w:pPr>
      <w:spacing w:before="240"/>
      <w:jc w:val="center"/>
    </w:pPr>
    <w:r w:rsidRPr="00DC3247">
      <w:rPr>
        <w:color w:val="2B579A"/>
        <w:shd w:val="clear" w:color="auto" w:fill="E6E6E6"/>
      </w:rPr>
      <w:fldChar w:fldCharType="begin"/>
    </w:r>
    <w:r w:rsidRPr="00DC3247">
      <w:instrText xml:space="preserve"> PAGE   \* MERGEFORMAT </w:instrText>
    </w:r>
    <w:r w:rsidRPr="00DC3247">
      <w:rPr>
        <w:color w:val="2B579A"/>
        <w:shd w:val="clear" w:color="auto" w:fill="E6E6E6"/>
      </w:rPr>
      <w:fldChar w:fldCharType="separate"/>
    </w:r>
    <w:r>
      <w:t>1</w:t>
    </w:r>
    <w:r w:rsidRPr="00DC3247">
      <w:rPr>
        <w:color w:val="2B579A"/>
        <w:shd w:val="clear" w:color="auto" w:fill="E6E6E6"/>
      </w:rPr>
      <w:fldChar w:fldCharType="end"/>
    </w:r>
  </w:p>
  <w:p w14:paraId="73C80CBF" w14:textId="77777777" w:rsidR="00101F54" w:rsidRPr="0096447D" w:rsidRDefault="00101F54" w:rsidP="00101F54">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r w:rsidR="0096447D">
      <w:rPr>
        <w:b/>
        <w:sz w:val="20"/>
      </w:rPr>
      <w:t xml:space="preserve"> </w:t>
    </w:r>
    <w:r w:rsidR="0096447D" w:rsidRPr="00DC3247">
      <w:rPr>
        <w:sz w:val="20"/>
      </w:rPr>
      <w:t>●</w:t>
    </w:r>
    <w:r w:rsidR="0096447D">
      <w:rPr>
        <w:sz w:val="20"/>
      </w:rPr>
      <w:t xml:space="preserve"> </w:t>
    </w:r>
    <w:r w:rsidR="0096447D" w:rsidRPr="0096447D">
      <w:rPr>
        <w:sz w:val="20"/>
      </w:rPr>
      <w:t>Revised: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4FA3" w14:textId="77777777" w:rsidR="00904791" w:rsidRDefault="00904791" w:rsidP="000E59DE">
      <w:r>
        <w:separator/>
      </w:r>
    </w:p>
    <w:p w14:paraId="6334FB53" w14:textId="77777777" w:rsidR="00904791" w:rsidRDefault="00904791" w:rsidP="000E59DE"/>
  </w:footnote>
  <w:footnote w:type="continuationSeparator" w:id="0">
    <w:p w14:paraId="00284003" w14:textId="77777777" w:rsidR="00904791" w:rsidRDefault="00904791" w:rsidP="000E59DE">
      <w:r>
        <w:continuationSeparator/>
      </w:r>
    </w:p>
    <w:p w14:paraId="232C6153" w14:textId="77777777" w:rsidR="00904791" w:rsidRDefault="00904791" w:rsidP="000E59DE"/>
  </w:footnote>
  <w:footnote w:type="continuationNotice" w:id="1">
    <w:p w14:paraId="72CA6F0C" w14:textId="77777777" w:rsidR="00904791" w:rsidRPr="00BE23B2" w:rsidRDefault="00904791" w:rsidP="000E59DE"/>
    <w:p w14:paraId="5B131106" w14:textId="77777777" w:rsidR="00904791" w:rsidRDefault="00904791" w:rsidP="000E5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E728" w14:textId="5CADF2A2" w:rsidR="00312ABE" w:rsidRDefault="00312ABE" w:rsidP="001404CE">
    <w:pPr>
      <w:pStyle w:val="Header"/>
      <w:pBdr>
        <w:bottom w:val="none" w:sz="0" w:space="0" w:color="auto"/>
      </w:pBdr>
      <w:spacing w:before="60"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77C"/>
    <w:multiLevelType w:val="multilevel"/>
    <w:tmpl w:val="2618F04C"/>
    <w:numStyleLink w:val="HHSBullets"/>
  </w:abstractNum>
  <w:abstractNum w:abstractNumId="1" w15:restartNumberingAfterBreak="0">
    <w:nsid w:val="1F2200E0"/>
    <w:multiLevelType w:val="multilevel"/>
    <w:tmpl w:val="243C9078"/>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2C382E10"/>
    <w:multiLevelType w:val="multilevel"/>
    <w:tmpl w:val="17103B86"/>
    <w:styleLink w:val="HHSHeadingNumbering"/>
    <w:lvl w:ilvl="0">
      <w:start w:val="1"/>
      <w:numFmt w:val="decimal"/>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3" w15:restartNumberingAfterBreak="0">
    <w:nsid w:val="3DFC3501"/>
    <w:multiLevelType w:val="hybridMultilevel"/>
    <w:tmpl w:val="48F0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26F35"/>
    <w:multiLevelType w:val="multilevel"/>
    <w:tmpl w:val="D4C65E62"/>
    <w:styleLink w:val="Appendixes"/>
    <w:lvl w:ilvl="0">
      <w:start w:val="1"/>
      <w:numFmt w:val="upperLetter"/>
      <w:suff w:val="space"/>
      <w:lvlText w:val="Appendix %1."/>
      <w:lvlJc w:val="left"/>
      <w:pPr>
        <w:ind w:left="0" w:firstLine="0"/>
      </w:pPr>
      <w:rPr>
        <w:rFonts w:asciiTheme="majorHAnsi" w:hAnsiTheme="majorHAnsi" w:hint="default"/>
        <w:b/>
        <w:sz w:val="40"/>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5" w15:restartNumberingAfterBreak="0">
    <w:nsid w:val="640A0D78"/>
    <w:multiLevelType w:val="multilevel"/>
    <w:tmpl w:val="2618F04C"/>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6" w15:restartNumberingAfterBreak="0">
    <w:nsid w:val="6F137996"/>
    <w:multiLevelType w:val="multilevel"/>
    <w:tmpl w:val="012A118C"/>
    <w:lvl w:ilvl="0">
      <w:start w:val="1"/>
      <w:numFmt w:val="decimal"/>
      <w:pStyle w:val="ListNumber"/>
      <w:lvlText w:val="%1."/>
      <w:lvlJc w:val="left"/>
      <w:pPr>
        <w:ind w:left="720" w:hanging="360"/>
      </w:pPr>
      <w:rPr>
        <w:rFonts w:asciiTheme="minorHAnsi" w:hAnsiTheme="minorHAnsi" w:hint="default"/>
      </w:rPr>
    </w:lvl>
    <w:lvl w:ilvl="1">
      <w:start w:val="1"/>
      <w:numFmt w:val="upperLetter"/>
      <w:lvlText w:val="%2."/>
      <w:lvlJc w:val="left"/>
      <w:pPr>
        <w:ind w:left="1080" w:hanging="360"/>
      </w:pPr>
      <w:rPr>
        <w:rFonts w:asciiTheme="minorHAnsi" w:hAnsiTheme="minorHAnsi" w:hint="default"/>
      </w:rPr>
    </w:lvl>
    <w:lvl w:ilvl="2">
      <w:start w:val="1"/>
      <w:numFmt w:val="lowerLetter"/>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upperLetter"/>
      <w:suff w:val="space"/>
      <w:lvlText w:val="(%5)"/>
      <w:lvlJc w:val="left"/>
      <w:pPr>
        <w:ind w:left="2160" w:hanging="360"/>
      </w:pPr>
      <w:rPr>
        <w:rFonts w:asciiTheme="minorHAnsi" w:hAnsiTheme="minorHAnsi" w:hint="default"/>
      </w:rPr>
    </w:lvl>
    <w:lvl w:ilvl="5">
      <w:start w:val="1"/>
      <w:numFmt w:val="lowerLetter"/>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16cid:durableId="559172369">
    <w:abstractNumId w:val="2"/>
  </w:num>
  <w:num w:numId="2" w16cid:durableId="1687709738">
    <w:abstractNumId w:val="5"/>
  </w:num>
  <w:num w:numId="3" w16cid:durableId="889607531">
    <w:abstractNumId w:val="1"/>
  </w:num>
  <w:num w:numId="4" w16cid:durableId="1277062815">
    <w:abstractNumId w:val="4"/>
  </w:num>
  <w:num w:numId="5" w16cid:durableId="335157927">
    <w:abstractNumId w:val="0"/>
  </w:num>
  <w:num w:numId="6" w16cid:durableId="1049719274">
    <w:abstractNumId w:val="6"/>
  </w:num>
  <w:num w:numId="7" w16cid:durableId="122960805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trackRevisions/>
  <w:defaultTabStop w:val="720"/>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0D"/>
    <w:rsid w:val="0000543F"/>
    <w:rsid w:val="00021D62"/>
    <w:rsid w:val="0002300D"/>
    <w:rsid w:val="00026B05"/>
    <w:rsid w:val="00035F74"/>
    <w:rsid w:val="000548F5"/>
    <w:rsid w:val="000577F3"/>
    <w:rsid w:val="00063D03"/>
    <w:rsid w:val="00067170"/>
    <w:rsid w:val="000674CE"/>
    <w:rsid w:val="00073F62"/>
    <w:rsid w:val="000809F0"/>
    <w:rsid w:val="0008739F"/>
    <w:rsid w:val="000873C7"/>
    <w:rsid w:val="000A351D"/>
    <w:rsid w:val="000A5224"/>
    <w:rsid w:val="000B3EA7"/>
    <w:rsid w:val="000C36D2"/>
    <w:rsid w:val="000C5FD5"/>
    <w:rsid w:val="000D41B4"/>
    <w:rsid w:val="000D45FE"/>
    <w:rsid w:val="000D46AF"/>
    <w:rsid w:val="000D5206"/>
    <w:rsid w:val="000D61EC"/>
    <w:rsid w:val="000E3BEC"/>
    <w:rsid w:val="000E59DE"/>
    <w:rsid w:val="000E6757"/>
    <w:rsid w:val="000F31B2"/>
    <w:rsid w:val="00101F54"/>
    <w:rsid w:val="001058F5"/>
    <w:rsid w:val="00110AE9"/>
    <w:rsid w:val="00137306"/>
    <w:rsid w:val="001404CE"/>
    <w:rsid w:val="00141F81"/>
    <w:rsid w:val="0014577F"/>
    <w:rsid w:val="00147BCA"/>
    <w:rsid w:val="001607C2"/>
    <w:rsid w:val="00162419"/>
    <w:rsid w:val="001706ED"/>
    <w:rsid w:val="00171CC4"/>
    <w:rsid w:val="00184A85"/>
    <w:rsid w:val="00195162"/>
    <w:rsid w:val="00196C80"/>
    <w:rsid w:val="001A6214"/>
    <w:rsid w:val="001A75D9"/>
    <w:rsid w:val="001B4DEB"/>
    <w:rsid w:val="001C2741"/>
    <w:rsid w:val="001D2E60"/>
    <w:rsid w:val="00200CCE"/>
    <w:rsid w:val="00214CA9"/>
    <w:rsid w:val="002236D2"/>
    <w:rsid w:val="00246352"/>
    <w:rsid w:val="00250F08"/>
    <w:rsid w:val="002542B4"/>
    <w:rsid w:val="002716C8"/>
    <w:rsid w:val="00275511"/>
    <w:rsid w:val="00276923"/>
    <w:rsid w:val="002A5F7A"/>
    <w:rsid w:val="002A672A"/>
    <w:rsid w:val="002E2979"/>
    <w:rsid w:val="002F0249"/>
    <w:rsid w:val="002F1503"/>
    <w:rsid w:val="002F4704"/>
    <w:rsid w:val="00303BBD"/>
    <w:rsid w:val="00311B29"/>
    <w:rsid w:val="00312ABE"/>
    <w:rsid w:val="00327482"/>
    <w:rsid w:val="00333D56"/>
    <w:rsid w:val="00345BE3"/>
    <w:rsid w:val="00345E37"/>
    <w:rsid w:val="00363808"/>
    <w:rsid w:val="00366895"/>
    <w:rsid w:val="00371424"/>
    <w:rsid w:val="003768D1"/>
    <w:rsid w:val="003C7B54"/>
    <w:rsid w:val="003D5D0A"/>
    <w:rsid w:val="003E1998"/>
    <w:rsid w:val="003E41FF"/>
    <w:rsid w:val="003F47C0"/>
    <w:rsid w:val="004003B1"/>
    <w:rsid w:val="0041570D"/>
    <w:rsid w:val="004157CA"/>
    <w:rsid w:val="0043784B"/>
    <w:rsid w:val="0044042D"/>
    <w:rsid w:val="00444527"/>
    <w:rsid w:val="0044514E"/>
    <w:rsid w:val="0045240D"/>
    <w:rsid w:val="00470EC4"/>
    <w:rsid w:val="00476A05"/>
    <w:rsid w:val="00476A13"/>
    <w:rsid w:val="00477E88"/>
    <w:rsid w:val="004868C4"/>
    <w:rsid w:val="004A4588"/>
    <w:rsid w:val="004B0519"/>
    <w:rsid w:val="004E0C43"/>
    <w:rsid w:val="004E1885"/>
    <w:rsid w:val="004E6AD9"/>
    <w:rsid w:val="004E7CA9"/>
    <w:rsid w:val="00502D2F"/>
    <w:rsid w:val="00535F11"/>
    <w:rsid w:val="00552CFB"/>
    <w:rsid w:val="00575689"/>
    <w:rsid w:val="005766BE"/>
    <w:rsid w:val="00576B0E"/>
    <w:rsid w:val="00581C85"/>
    <w:rsid w:val="005979D0"/>
    <w:rsid w:val="00597C6D"/>
    <w:rsid w:val="005A6BC4"/>
    <w:rsid w:val="005A7B40"/>
    <w:rsid w:val="005B75BA"/>
    <w:rsid w:val="005C1880"/>
    <w:rsid w:val="005C2739"/>
    <w:rsid w:val="005C7B8F"/>
    <w:rsid w:val="005D7C97"/>
    <w:rsid w:val="005E2106"/>
    <w:rsid w:val="005F18C3"/>
    <w:rsid w:val="005F2FCD"/>
    <w:rsid w:val="005F54F5"/>
    <w:rsid w:val="00600011"/>
    <w:rsid w:val="00613EF4"/>
    <w:rsid w:val="00634EBB"/>
    <w:rsid w:val="00635C80"/>
    <w:rsid w:val="0065297C"/>
    <w:rsid w:val="00657F73"/>
    <w:rsid w:val="00660E58"/>
    <w:rsid w:val="00666716"/>
    <w:rsid w:val="006678BD"/>
    <w:rsid w:val="00681ED9"/>
    <w:rsid w:val="0068235D"/>
    <w:rsid w:val="006823C1"/>
    <w:rsid w:val="00692774"/>
    <w:rsid w:val="00693C3C"/>
    <w:rsid w:val="00696CFF"/>
    <w:rsid w:val="006A6CDA"/>
    <w:rsid w:val="006B00B9"/>
    <w:rsid w:val="006B514F"/>
    <w:rsid w:val="006C4EFB"/>
    <w:rsid w:val="006C5C59"/>
    <w:rsid w:val="006D0D91"/>
    <w:rsid w:val="006E1457"/>
    <w:rsid w:val="006E2D2A"/>
    <w:rsid w:val="006F0587"/>
    <w:rsid w:val="00701B23"/>
    <w:rsid w:val="00724434"/>
    <w:rsid w:val="00754858"/>
    <w:rsid w:val="00762C86"/>
    <w:rsid w:val="007927B4"/>
    <w:rsid w:val="007A61A8"/>
    <w:rsid w:val="007B2362"/>
    <w:rsid w:val="007D14F5"/>
    <w:rsid w:val="007D3180"/>
    <w:rsid w:val="007D67F6"/>
    <w:rsid w:val="007E0E78"/>
    <w:rsid w:val="007E70E6"/>
    <w:rsid w:val="00803D46"/>
    <w:rsid w:val="00807998"/>
    <w:rsid w:val="00823377"/>
    <w:rsid w:val="00825AFD"/>
    <w:rsid w:val="008356BD"/>
    <w:rsid w:val="00845291"/>
    <w:rsid w:val="00851874"/>
    <w:rsid w:val="00892B63"/>
    <w:rsid w:val="00897159"/>
    <w:rsid w:val="008A6F0A"/>
    <w:rsid w:val="008B2B28"/>
    <w:rsid w:val="008D00BD"/>
    <w:rsid w:val="008E4837"/>
    <w:rsid w:val="00904791"/>
    <w:rsid w:val="00905276"/>
    <w:rsid w:val="009078C9"/>
    <w:rsid w:val="00911366"/>
    <w:rsid w:val="00911CD7"/>
    <w:rsid w:val="00915845"/>
    <w:rsid w:val="00915C59"/>
    <w:rsid w:val="00917CEC"/>
    <w:rsid w:val="009309B1"/>
    <w:rsid w:val="00934263"/>
    <w:rsid w:val="00940B53"/>
    <w:rsid w:val="009444FF"/>
    <w:rsid w:val="0095140B"/>
    <w:rsid w:val="00951D7A"/>
    <w:rsid w:val="00955957"/>
    <w:rsid w:val="0096447D"/>
    <w:rsid w:val="00966638"/>
    <w:rsid w:val="00967274"/>
    <w:rsid w:val="009738A2"/>
    <w:rsid w:val="00973974"/>
    <w:rsid w:val="00993831"/>
    <w:rsid w:val="009A05DC"/>
    <w:rsid w:val="009B0A1A"/>
    <w:rsid w:val="009B6B38"/>
    <w:rsid w:val="009C6ABE"/>
    <w:rsid w:val="009C71F0"/>
    <w:rsid w:val="009D1B79"/>
    <w:rsid w:val="009D7B4D"/>
    <w:rsid w:val="009E338D"/>
    <w:rsid w:val="00A01A7C"/>
    <w:rsid w:val="00A027EA"/>
    <w:rsid w:val="00A05C85"/>
    <w:rsid w:val="00A34372"/>
    <w:rsid w:val="00A430EC"/>
    <w:rsid w:val="00A53142"/>
    <w:rsid w:val="00A73EF7"/>
    <w:rsid w:val="00A73FC2"/>
    <w:rsid w:val="00A846CD"/>
    <w:rsid w:val="00AA084E"/>
    <w:rsid w:val="00AA3E9D"/>
    <w:rsid w:val="00AA6C61"/>
    <w:rsid w:val="00AA78B4"/>
    <w:rsid w:val="00AB7481"/>
    <w:rsid w:val="00AC4829"/>
    <w:rsid w:val="00AC534F"/>
    <w:rsid w:val="00AC5586"/>
    <w:rsid w:val="00AD2BB7"/>
    <w:rsid w:val="00AD2FEF"/>
    <w:rsid w:val="00AE31A5"/>
    <w:rsid w:val="00AE7291"/>
    <w:rsid w:val="00AF016D"/>
    <w:rsid w:val="00AF2D0E"/>
    <w:rsid w:val="00B2144C"/>
    <w:rsid w:val="00B26956"/>
    <w:rsid w:val="00B32B4E"/>
    <w:rsid w:val="00B45EB7"/>
    <w:rsid w:val="00B52478"/>
    <w:rsid w:val="00B55BD5"/>
    <w:rsid w:val="00B62D6F"/>
    <w:rsid w:val="00B64FAD"/>
    <w:rsid w:val="00B66106"/>
    <w:rsid w:val="00B82468"/>
    <w:rsid w:val="00B86FF6"/>
    <w:rsid w:val="00B87A46"/>
    <w:rsid w:val="00BA3755"/>
    <w:rsid w:val="00BA7E9C"/>
    <w:rsid w:val="00BB579E"/>
    <w:rsid w:val="00BB73E4"/>
    <w:rsid w:val="00BC4320"/>
    <w:rsid w:val="00BD32E9"/>
    <w:rsid w:val="00BD48FA"/>
    <w:rsid w:val="00BE23B2"/>
    <w:rsid w:val="00BE638A"/>
    <w:rsid w:val="00BF549B"/>
    <w:rsid w:val="00C01AF6"/>
    <w:rsid w:val="00C17240"/>
    <w:rsid w:val="00C22680"/>
    <w:rsid w:val="00C24769"/>
    <w:rsid w:val="00C2591A"/>
    <w:rsid w:val="00C27611"/>
    <w:rsid w:val="00C476FA"/>
    <w:rsid w:val="00C55070"/>
    <w:rsid w:val="00C562FA"/>
    <w:rsid w:val="00C60789"/>
    <w:rsid w:val="00C63A36"/>
    <w:rsid w:val="00CA00A4"/>
    <w:rsid w:val="00CA0FB7"/>
    <w:rsid w:val="00CA1532"/>
    <w:rsid w:val="00CA55CF"/>
    <w:rsid w:val="00CA7F91"/>
    <w:rsid w:val="00CB08C9"/>
    <w:rsid w:val="00CC5572"/>
    <w:rsid w:val="00CD344A"/>
    <w:rsid w:val="00CE6D51"/>
    <w:rsid w:val="00CF0FBC"/>
    <w:rsid w:val="00CF41EB"/>
    <w:rsid w:val="00D072AE"/>
    <w:rsid w:val="00D0760C"/>
    <w:rsid w:val="00D16536"/>
    <w:rsid w:val="00D35F8D"/>
    <w:rsid w:val="00D57BB5"/>
    <w:rsid w:val="00D61983"/>
    <w:rsid w:val="00D7005B"/>
    <w:rsid w:val="00D86FBA"/>
    <w:rsid w:val="00D9281E"/>
    <w:rsid w:val="00DA0A59"/>
    <w:rsid w:val="00DA743E"/>
    <w:rsid w:val="00DB1DCF"/>
    <w:rsid w:val="00DB2BB7"/>
    <w:rsid w:val="00DC49A8"/>
    <w:rsid w:val="00DC4D89"/>
    <w:rsid w:val="00DC506B"/>
    <w:rsid w:val="00DD79FB"/>
    <w:rsid w:val="00DE1A1F"/>
    <w:rsid w:val="00E13888"/>
    <w:rsid w:val="00E168FC"/>
    <w:rsid w:val="00E30FE7"/>
    <w:rsid w:val="00E32C2F"/>
    <w:rsid w:val="00E77096"/>
    <w:rsid w:val="00E85679"/>
    <w:rsid w:val="00EA1AFB"/>
    <w:rsid w:val="00EA3A51"/>
    <w:rsid w:val="00EA5D03"/>
    <w:rsid w:val="00EB7BDE"/>
    <w:rsid w:val="00ED0680"/>
    <w:rsid w:val="00EE074F"/>
    <w:rsid w:val="00EE12C3"/>
    <w:rsid w:val="00EE4F4A"/>
    <w:rsid w:val="00EE6AA0"/>
    <w:rsid w:val="00EE7D41"/>
    <w:rsid w:val="00EF0202"/>
    <w:rsid w:val="00EF2CFE"/>
    <w:rsid w:val="00F11CF9"/>
    <w:rsid w:val="00F21889"/>
    <w:rsid w:val="00F21EEC"/>
    <w:rsid w:val="00F245BC"/>
    <w:rsid w:val="00F30535"/>
    <w:rsid w:val="00F31FE0"/>
    <w:rsid w:val="00F34ED5"/>
    <w:rsid w:val="00F420D8"/>
    <w:rsid w:val="00F4653C"/>
    <w:rsid w:val="00F54A70"/>
    <w:rsid w:val="00F77E4E"/>
    <w:rsid w:val="00F9445A"/>
    <w:rsid w:val="00F94B47"/>
    <w:rsid w:val="00FB2C37"/>
    <w:rsid w:val="00FB2E2D"/>
    <w:rsid w:val="00FD3AD2"/>
    <w:rsid w:val="00FE5F97"/>
    <w:rsid w:val="00FF3E95"/>
    <w:rsid w:val="00FF472B"/>
    <w:rsid w:val="1EB3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72A6"/>
  <w15:chartTrackingRefBased/>
  <w15:docId w15:val="{23806A98-488A-47A8-9A8E-2A8723DE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6" w:unhideWhenUsed="1" w:qFormat="1"/>
    <w:lsdException w:name="FollowedHyperlink" w:semiHidden="1" w:unhideWhenUsed="1"/>
    <w:lsdException w:name="Strong" w:uiPriority="4"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unhideWhenUsed="1"/>
    <w:lsdException w:name="Bibliography" w:semiHidden="1"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semiHidden/>
    <w:rsid w:val="00B87A46"/>
    <w:rPr>
      <w:szCs w:val="20"/>
    </w:rPr>
  </w:style>
  <w:style w:type="paragraph" w:styleId="Heading1">
    <w:name w:val="heading 1"/>
    <w:next w:val="BodyTextafterheading"/>
    <w:link w:val="Heading1Char"/>
    <w:rsid w:val="00A430EC"/>
    <w:pPr>
      <w:keepNext/>
      <w:keepLines/>
      <w:spacing w:before="480" w:after="120" w:line="288" w:lineRule="auto"/>
      <w:jc w:val="center"/>
      <w:outlineLvl w:val="0"/>
    </w:pPr>
    <w:rPr>
      <w:rFonts w:asciiTheme="majorHAnsi" w:eastAsiaTheme="majorEastAsia" w:hAnsiTheme="majorHAnsi" w:cs="Arial"/>
      <w:b/>
      <w:color w:val="000000" w:themeColor="text2"/>
      <w:sz w:val="40"/>
      <w:szCs w:val="36"/>
    </w:rPr>
  </w:style>
  <w:style w:type="paragraph" w:styleId="Heading2">
    <w:name w:val="heading 2"/>
    <w:next w:val="BodyTextafterheading"/>
    <w:link w:val="Heading2Char"/>
    <w:qFormat/>
    <w:rsid w:val="0041570D"/>
    <w:pPr>
      <w:keepNext/>
      <w:keepLines/>
      <w:spacing w:before="240" w:after="120" w:line="288" w:lineRule="auto"/>
      <w:outlineLvl w:val="1"/>
    </w:pPr>
    <w:rPr>
      <w:rFonts w:asciiTheme="majorHAnsi" w:eastAsiaTheme="majorEastAsia" w:hAnsiTheme="majorHAnsi" w:cstheme="majorBidi"/>
      <w:b/>
      <w:color w:val="003087"/>
      <w:sz w:val="28"/>
      <w:szCs w:val="26"/>
    </w:rPr>
  </w:style>
  <w:style w:type="paragraph" w:styleId="Heading3">
    <w:name w:val="heading 3"/>
    <w:next w:val="BodyTextafterheading"/>
    <w:link w:val="Heading3Char"/>
    <w:qFormat/>
    <w:rsid w:val="0041570D"/>
    <w:pPr>
      <w:keepNext/>
      <w:keepLines/>
      <w:spacing w:before="240" w:after="120" w:line="288" w:lineRule="auto"/>
      <w:outlineLvl w:val="2"/>
    </w:pPr>
    <w:rPr>
      <w:rFonts w:asciiTheme="majorHAnsi" w:eastAsiaTheme="majorEastAsia" w:hAnsiTheme="majorHAnsi" w:cstheme="majorBidi"/>
      <w:b/>
      <w:color w:val="005CB9"/>
      <w:sz w:val="24"/>
      <w:szCs w:val="24"/>
    </w:rPr>
  </w:style>
  <w:style w:type="paragraph" w:styleId="Heading4">
    <w:name w:val="heading 4"/>
    <w:next w:val="BodyTextafterheading"/>
    <w:link w:val="Heading4Char"/>
    <w:qFormat/>
    <w:rsid w:val="002F0249"/>
    <w:pPr>
      <w:keepNext/>
      <w:keepLines/>
      <w:spacing w:before="240" w:after="120" w:line="288" w:lineRule="auto"/>
      <w:outlineLvl w:val="3"/>
    </w:pPr>
    <w:rPr>
      <w:rFonts w:asciiTheme="majorHAnsi" w:eastAsiaTheme="majorEastAsia" w:hAnsiTheme="majorHAnsi" w:cstheme="majorBidi"/>
      <w:b/>
      <w:iCs/>
      <w:color w:val="022167" w:themeColor="text1"/>
      <w:sz w:val="32"/>
      <w:szCs w:val="20"/>
    </w:rPr>
  </w:style>
  <w:style w:type="paragraph" w:styleId="Heading5">
    <w:name w:val="heading 5"/>
    <w:next w:val="BodyTextafterheading"/>
    <w:link w:val="Heading5Char"/>
    <w:rsid w:val="002F0249"/>
    <w:pPr>
      <w:keepNext/>
      <w:keepLines/>
      <w:spacing w:before="240" w:after="120" w:line="288" w:lineRule="auto"/>
      <w:outlineLvl w:val="4"/>
    </w:pPr>
    <w:rPr>
      <w:rFonts w:asciiTheme="majorHAnsi" w:eastAsiaTheme="majorEastAsia" w:hAnsiTheme="majorHAnsi" w:cstheme="majorBidi"/>
      <w:b/>
      <w:iCs/>
      <w:color w:val="005CB9"/>
      <w:sz w:val="28"/>
      <w:szCs w:val="20"/>
    </w:rPr>
  </w:style>
  <w:style w:type="paragraph" w:styleId="Heading6">
    <w:name w:val="heading 6"/>
    <w:next w:val="BodyTextafterheading"/>
    <w:link w:val="Heading6Char"/>
    <w:qFormat/>
    <w:rsid w:val="002F0249"/>
    <w:pPr>
      <w:keepNext/>
      <w:keepLines/>
      <w:spacing w:before="240" w:after="120" w:line="288" w:lineRule="auto"/>
      <w:outlineLvl w:val="5"/>
    </w:pPr>
    <w:rPr>
      <w:rFonts w:asciiTheme="majorHAnsi" w:eastAsiaTheme="majorEastAsia" w:hAnsiTheme="majorHAnsi" w:cstheme="majorBidi"/>
      <w:b/>
      <w:iCs/>
      <w:color w:val="022167" w:themeColor="tex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uiPriority w:val="4"/>
    <w:qFormat/>
    <w:rsid w:val="00250F08"/>
    <w:rPr>
      <w:b/>
      <w:i/>
    </w:rPr>
  </w:style>
  <w:style w:type="paragraph" w:customStyle="1" w:styleId="Heading1forLists">
    <w:name w:val="Heading 1 for Lists"/>
    <w:basedOn w:val="TOCHeading"/>
    <w:next w:val="BodyTextafterheading"/>
    <w:link w:val="Heading1forListsChar"/>
    <w:uiPriority w:val="2"/>
    <w:qFormat/>
    <w:rsid w:val="00333D56"/>
  </w:style>
  <w:style w:type="character" w:customStyle="1" w:styleId="Heading1forListsChar">
    <w:name w:val="Heading 1 for Lists Char"/>
    <w:basedOn w:val="DefaultParagraphFont"/>
    <w:link w:val="Heading1forLists"/>
    <w:uiPriority w:val="2"/>
    <w:rsid w:val="00333D56"/>
    <w:rPr>
      <w:rFonts w:asciiTheme="majorHAnsi" w:eastAsia="Times New Roman" w:hAnsiTheme="majorHAnsi" w:cs="Times New Roman"/>
      <w:b/>
      <w:sz w:val="40"/>
      <w:szCs w:val="24"/>
    </w:rPr>
  </w:style>
  <w:style w:type="character" w:customStyle="1" w:styleId="Heading1Char">
    <w:name w:val="Heading 1 Char"/>
    <w:basedOn w:val="DefaultParagraphFont"/>
    <w:link w:val="Heading1"/>
    <w:rsid w:val="00A430EC"/>
    <w:rPr>
      <w:rFonts w:asciiTheme="majorHAnsi" w:eastAsiaTheme="majorEastAsia" w:hAnsiTheme="majorHAnsi" w:cs="Arial"/>
      <w:b/>
      <w:color w:val="000000" w:themeColor="text2"/>
      <w:sz w:val="40"/>
      <w:szCs w:val="36"/>
    </w:rPr>
  </w:style>
  <w:style w:type="paragraph" w:styleId="TOCHeading">
    <w:name w:val="TOC Heading"/>
    <w:next w:val="TOC1"/>
    <w:link w:val="TOCHeadingChar"/>
    <w:uiPriority w:val="1"/>
    <w:qFormat/>
    <w:rsid w:val="00333D56"/>
    <w:pPr>
      <w:spacing w:after="240" w:line="288" w:lineRule="auto"/>
      <w:jc w:val="center"/>
      <w:outlineLvl w:val="0"/>
    </w:pPr>
    <w:rPr>
      <w:rFonts w:asciiTheme="majorHAnsi" w:eastAsia="Times New Roman" w:hAnsiTheme="majorHAnsi" w:cs="Times New Roman"/>
      <w:b/>
      <w:sz w:val="40"/>
      <w:szCs w:val="24"/>
    </w:rPr>
  </w:style>
  <w:style w:type="paragraph" w:customStyle="1" w:styleId="TableContent">
    <w:name w:val="Table Content"/>
    <w:basedOn w:val="BodyText"/>
    <w:link w:val="TableContentChar"/>
    <w:uiPriority w:val="4"/>
    <w:rsid w:val="00067170"/>
    <w:pPr>
      <w:widowControl w:val="0"/>
      <w:spacing w:before="60" w:after="60" w:line="252" w:lineRule="auto"/>
      <w:ind w:left="72" w:right="72"/>
    </w:pPr>
    <w:rPr>
      <w:sz w:val="20"/>
    </w:rPr>
  </w:style>
  <w:style w:type="character" w:customStyle="1" w:styleId="TableContentChar">
    <w:name w:val="Table Content Char"/>
    <w:basedOn w:val="BodyTextChar"/>
    <w:link w:val="TableContent"/>
    <w:uiPriority w:val="4"/>
    <w:rsid w:val="00067170"/>
    <w:rPr>
      <w:sz w:val="20"/>
      <w:szCs w:val="20"/>
    </w:rPr>
  </w:style>
  <w:style w:type="paragraph" w:styleId="BodyText">
    <w:name w:val="Body Text"/>
    <w:link w:val="BodyTextChar"/>
    <w:uiPriority w:val="4"/>
    <w:qFormat/>
    <w:rsid w:val="00660E58"/>
    <w:pPr>
      <w:spacing w:before="240" w:after="240" w:line="288" w:lineRule="auto"/>
    </w:pPr>
    <w:rPr>
      <w:szCs w:val="20"/>
    </w:rPr>
  </w:style>
  <w:style w:type="character" w:customStyle="1" w:styleId="BodyTextChar">
    <w:name w:val="Body Text Char"/>
    <w:basedOn w:val="DefaultParagraphFont"/>
    <w:link w:val="BodyText"/>
    <w:uiPriority w:val="4"/>
    <w:rsid w:val="00660E58"/>
    <w:rPr>
      <w:szCs w:val="20"/>
    </w:rPr>
  </w:style>
  <w:style w:type="paragraph" w:customStyle="1" w:styleId="BodyTextafterheading">
    <w:name w:val="Body Text after heading"/>
    <w:basedOn w:val="BodyText"/>
    <w:next w:val="BodyText"/>
    <w:link w:val="BodyTextafterheadingChar"/>
    <w:uiPriority w:val="4"/>
    <w:qFormat/>
    <w:rsid w:val="00250F08"/>
    <w:pPr>
      <w:spacing w:before="120"/>
    </w:pPr>
  </w:style>
  <w:style w:type="character" w:customStyle="1" w:styleId="BodyTextafterheadingChar">
    <w:name w:val="Body Text after heading Char"/>
    <w:basedOn w:val="BodyTextChar"/>
    <w:link w:val="BodyTextafterheading"/>
    <w:uiPriority w:val="4"/>
    <w:rsid w:val="00250F08"/>
    <w:rPr>
      <w:szCs w:val="20"/>
    </w:rPr>
  </w:style>
  <w:style w:type="character" w:customStyle="1" w:styleId="Heading2Char">
    <w:name w:val="Heading 2 Char"/>
    <w:basedOn w:val="DefaultParagraphFont"/>
    <w:link w:val="Heading2"/>
    <w:rsid w:val="0041570D"/>
    <w:rPr>
      <w:rFonts w:asciiTheme="majorHAnsi" w:eastAsiaTheme="majorEastAsia" w:hAnsiTheme="majorHAnsi" w:cstheme="majorBidi"/>
      <w:b/>
      <w:color w:val="003087"/>
      <w:sz w:val="28"/>
      <w:szCs w:val="26"/>
    </w:rPr>
  </w:style>
  <w:style w:type="character" w:customStyle="1" w:styleId="Heading3Char">
    <w:name w:val="Heading 3 Char"/>
    <w:basedOn w:val="DefaultParagraphFont"/>
    <w:link w:val="Heading3"/>
    <w:rsid w:val="0041570D"/>
    <w:rPr>
      <w:rFonts w:asciiTheme="majorHAnsi" w:eastAsiaTheme="majorEastAsia" w:hAnsiTheme="majorHAnsi" w:cstheme="majorBidi"/>
      <w:b/>
      <w:color w:val="005CB9"/>
      <w:sz w:val="24"/>
      <w:szCs w:val="24"/>
    </w:rPr>
  </w:style>
  <w:style w:type="character" w:customStyle="1" w:styleId="Heading4Char">
    <w:name w:val="Heading 4 Char"/>
    <w:basedOn w:val="DefaultParagraphFont"/>
    <w:link w:val="Heading4"/>
    <w:rsid w:val="002F0249"/>
    <w:rPr>
      <w:rFonts w:asciiTheme="majorHAnsi" w:eastAsiaTheme="majorEastAsia" w:hAnsiTheme="majorHAnsi" w:cstheme="majorBidi"/>
      <w:b/>
      <w:iCs/>
      <w:color w:val="022167" w:themeColor="text1"/>
      <w:sz w:val="32"/>
      <w:szCs w:val="20"/>
    </w:rPr>
  </w:style>
  <w:style w:type="character" w:customStyle="1" w:styleId="Heading6Char">
    <w:name w:val="Heading 6 Char"/>
    <w:basedOn w:val="DefaultParagraphFont"/>
    <w:link w:val="Heading6"/>
    <w:rsid w:val="002F0249"/>
    <w:rPr>
      <w:rFonts w:asciiTheme="majorHAnsi" w:eastAsiaTheme="majorEastAsia" w:hAnsiTheme="majorHAnsi" w:cstheme="majorBidi"/>
      <w:b/>
      <w:iCs/>
      <w:color w:val="022167" w:themeColor="text1"/>
      <w:sz w:val="28"/>
      <w:szCs w:val="20"/>
    </w:rPr>
  </w:style>
  <w:style w:type="paragraph" w:styleId="Caption">
    <w:name w:val="caption"/>
    <w:basedOn w:val="BodyText"/>
    <w:next w:val="BodyText"/>
    <w:uiPriority w:val="4"/>
    <w:qFormat/>
    <w:rsid w:val="00371424"/>
    <w:pPr>
      <w:keepNext/>
      <w:spacing w:before="60" w:after="60"/>
    </w:pPr>
    <w:rPr>
      <w:b/>
      <w:iCs/>
      <w:color w:val="000000" w:themeColor="text2"/>
      <w:sz w:val="20"/>
      <w:szCs w:val="18"/>
    </w:rPr>
  </w:style>
  <w:style w:type="paragraph" w:styleId="ListBullet">
    <w:name w:val="List Bullet"/>
    <w:uiPriority w:val="5"/>
    <w:qFormat/>
    <w:rsid w:val="00250F08"/>
    <w:pPr>
      <w:numPr>
        <w:numId w:val="5"/>
      </w:numPr>
      <w:spacing w:before="120" w:after="120" w:line="288" w:lineRule="auto"/>
    </w:pPr>
    <w:rPr>
      <w:rFonts w:cs="Calibri"/>
      <w:szCs w:val="20"/>
    </w:rPr>
  </w:style>
  <w:style w:type="paragraph" w:styleId="ListNumber">
    <w:name w:val="List Number"/>
    <w:uiPriority w:val="5"/>
    <w:qFormat/>
    <w:rsid w:val="00966638"/>
    <w:pPr>
      <w:numPr>
        <w:numId w:val="6"/>
      </w:numPr>
      <w:spacing w:before="120" w:after="120" w:line="288" w:lineRule="auto"/>
    </w:pPr>
    <w:rPr>
      <w:szCs w:val="20"/>
    </w:rPr>
  </w:style>
  <w:style w:type="paragraph" w:styleId="Title">
    <w:name w:val="Title"/>
    <w:basedOn w:val="Normal"/>
    <w:link w:val="TitleChar"/>
    <w:uiPriority w:val="10"/>
    <w:semiHidden/>
    <w:qFormat/>
    <w:rsid w:val="002236D2"/>
    <w:pPr>
      <w:spacing w:before="3600" w:after="480" w:line="300" w:lineRule="auto"/>
      <w:contextualSpacing/>
      <w:jc w:val="center"/>
      <w:outlineLvl w:val="0"/>
    </w:pPr>
    <w:rPr>
      <w:rFonts w:asciiTheme="majorHAnsi" w:eastAsiaTheme="majorEastAsia" w:hAnsiTheme="majorHAnsi" w:cstheme="majorBidi"/>
      <w:b/>
      <w:color w:val="005CB9"/>
      <w:spacing w:val="-10"/>
      <w:kern w:val="28"/>
      <w:sz w:val="56"/>
      <w:szCs w:val="56"/>
    </w:rPr>
  </w:style>
  <w:style w:type="character" w:customStyle="1" w:styleId="TitleChar">
    <w:name w:val="Title Char"/>
    <w:basedOn w:val="DefaultParagraphFont"/>
    <w:link w:val="Title"/>
    <w:uiPriority w:val="10"/>
    <w:semiHidden/>
    <w:rsid w:val="002236D2"/>
    <w:rPr>
      <w:rFonts w:asciiTheme="majorHAnsi" w:eastAsiaTheme="majorEastAsia" w:hAnsiTheme="majorHAnsi" w:cstheme="majorBidi"/>
      <w:b/>
      <w:color w:val="005CB9"/>
      <w:spacing w:val="-10"/>
      <w:kern w:val="28"/>
      <w:sz w:val="56"/>
      <w:szCs w:val="56"/>
    </w:rPr>
  </w:style>
  <w:style w:type="paragraph" w:styleId="Subtitle">
    <w:name w:val="Subtitle"/>
    <w:basedOn w:val="Normal"/>
    <w:link w:val="SubtitleChar"/>
    <w:uiPriority w:val="11"/>
    <w:semiHidden/>
    <w:qFormat/>
    <w:rsid w:val="002236D2"/>
    <w:pPr>
      <w:numPr>
        <w:ilvl w:val="1"/>
      </w:numPr>
      <w:spacing w:before="600" w:after="160" w:line="300" w:lineRule="auto"/>
      <w:jc w:val="center"/>
    </w:pPr>
    <w:rPr>
      <w:rFonts w:eastAsiaTheme="minorEastAsia"/>
      <w:b/>
      <w:color w:val="000000" w:themeColor="text2"/>
      <w:sz w:val="32"/>
    </w:rPr>
  </w:style>
  <w:style w:type="character" w:customStyle="1" w:styleId="SubtitleChar">
    <w:name w:val="Subtitle Char"/>
    <w:basedOn w:val="DefaultParagraphFont"/>
    <w:link w:val="Subtitle"/>
    <w:uiPriority w:val="11"/>
    <w:semiHidden/>
    <w:rsid w:val="002236D2"/>
    <w:rPr>
      <w:rFonts w:eastAsiaTheme="minorEastAsia"/>
      <w:b/>
      <w:color w:val="000000" w:themeColor="text2"/>
      <w:sz w:val="32"/>
      <w:szCs w:val="20"/>
    </w:rPr>
  </w:style>
  <w:style w:type="character" w:styleId="Strong">
    <w:name w:val="Strong"/>
    <w:uiPriority w:val="4"/>
    <w:qFormat/>
    <w:rsid w:val="00250F08"/>
    <w:rPr>
      <w:b/>
      <w:bCs/>
    </w:rPr>
  </w:style>
  <w:style w:type="character" w:styleId="Emphasis">
    <w:name w:val="Emphasis"/>
    <w:uiPriority w:val="4"/>
    <w:qFormat/>
    <w:rsid w:val="00250F08"/>
    <w:rPr>
      <w:i/>
      <w:iCs/>
    </w:rPr>
  </w:style>
  <w:style w:type="paragraph" w:styleId="ListParagraph">
    <w:name w:val="List Paragraph"/>
    <w:uiPriority w:val="34"/>
    <w:qFormat/>
    <w:rsid w:val="00660E58"/>
    <w:pPr>
      <w:spacing w:before="120" w:after="120"/>
      <w:ind w:left="720"/>
    </w:pPr>
    <w:rPr>
      <w:szCs w:val="20"/>
    </w:rPr>
  </w:style>
  <w:style w:type="table" w:customStyle="1" w:styleId="AccessibleBaseforTables">
    <w:name w:val="Accessible Base for Tables"/>
    <w:basedOn w:val="TableNormal"/>
    <w:uiPriority w:val="99"/>
    <w:rsid w:val="00A05C85"/>
    <w:pPr>
      <w:jc w:val="center"/>
    </w:pPr>
    <w:rPr>
      <w:sz w:val="20"/>
    </w:rPr>
    <w:tblPr>
      <w:tblCellMar>
        <w:left w:w="0" w:type="dxa"/>
        <w:right w:w="0" w:type="dxa"/>
      </w:tblCellMar>
    </w:tblPr>
    <w:trPr>
      <w:cantSplit/>
    </w:trPr>
    <w:tblStylePr w:type="firstRow">
      <w:pPr>
        <w:jc w:val="center"/>
      </w:pPr>
      <w:tblPr/>
      <w:trPr>
        <w:tblHeader/>
      </w:trPr>
    </w:tblStylePr>
    <w:tblStylePr w:type="firstCol">
      <w:pPr>
        <w:jc w:val="left"/>
      </w:pPr>
    </w:tblStylePr>
  </w:style>
  <w:style w:type="table" w:customStyle="1" w:styleId="AccessibleTable">
    <w:name w:val="Accessible Table"/>
    <w:basedOn w:val="AccessibleBaseforTables"/>
    <w:uiPriority w:val="99"/>
    <w:rsid w:val="00063D03"/>
    <w:tblPr>
      <w:tblStyleRow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jc w:val="center"/>
      </w:pPr>
      <w:rPr>
        <w:b/>
      </w:rPr>
      <w:tblPr/>
      <w:trPr>
        <w:tblHeader/>
      </w:trPr>
      <w:tcPr>
        <w:shd w:val="clear" w:color="auto" w:fill="C4DDF4" w:themeFill="accent1" w:themeFillTint="66"/>
        <w:vAlign w:val="bottom"/>
      </w:tcPr>
    </w:tblStylePr>
    <w:tblStylePr w:type="lastRow">
      <w:rPr>
        <w:b/>
      </w:rPr>
      <w:tblPr/>
      <w:tcPr>
        <w:tcBorders>
          <w:top w:val="single" w:sz="4" w:space="0" w:color="auto"/>
        </w:tcBorders>
        <w:shd w:val="clear" w:color="auto" w:fill="C4DDF4" w:themeFill="accent1" w:themeFillTint="66"/>
      </w:tcPr>
    </w:tblStylePr>
    <w:tblStylePr w:type="firstCol">
      <w:pPr>
        <w:jc w:val="left"/>
      </w:pPr>
      <w:rPr>
        <w:b/>
      </w:rPr>
      <w:tblPr/>
      <w:tcPr>
        <w:shd w:val="clear" w:color="auto" w:fill="C4DDF4" w:themeFill="accent1" w:themeFillTint="66"/>
      </w:tcPr>
    </w:tblStylePr>
    <w:tblStylePr w:type="lastCol">
      <w:rPr>
        <w:b/>
      </w:rPr>
      <w:tblPr/>
      <w:tcPr>
        <w:tcBorders>
          <w:left w:val="single" w:sz="4" w:space="0" w:color="auto"/>
        </w:tcBorders>
        <w:shd w:val="clear" w:color="auto" w:fill="C4DDF4" w:themeFill="accent1" w:themeFillTint="66"/>
      </w:tcPr>
    </w:tblStylePr>
    <w:tblStylePr w:type="band2Horz">
      <w:tblPr/>
      <w:tcPr>
        <w:shd w:val="clear" w:color="auto" w:fill="E1EEF9" w:themeFill="accent1" w:themeFillTint="33"/>
      </w:tcPr>
    </w:tblStylePr>
  </w:style>
  <w:style w:type="paragraph" w:styleId="BlockText">
    <w:name w:val="Block Text"/>
    <w:basedOn w:val="BodyText"/>
    <w:uiPriority w:val="6"/>
    <w:qFormat/>
    <w:rsid w:val="000D61EC"/>
    <w:pPr>
      <w:pBdr>
        <w:top w:val="single" w:sz="8" w:space="10" w:color="003087"/>
        <w:left w:val="single" w:sz="36" w:space="10" w:color="003087"/>
        <w:bottom w:val="single" w:sz="8" w:space="10" w:color="003087"/>
        <w:right w:val="single" w:sz="36" w:space="10" w:color="003087"/>
      </w:pBdr>
      <w:spacing w:before="360" w:after="360"/>
      <w:ind w:left="1152" w:right="1152"/>
    </w:pPr>
    <w:rPr>
      <w:rFonts w:eastAsiaTheme="minorEastAsia"/>
      <w:iCs/>
    </w:rPr>
  </w:style>
  <w:style w:type="character" w:customStyle="1" w:styleId="Heading5Char">
    <w:name w:val="Heading 5 Char"/>
    <w:basedOn w:val="DefaultParagraphFont"/>
    <w:link w:val="Heading5"/>
    <w:rsid w:val="002F0249"/>
    <w:rPr>
      <w:rFonts w:asciiTheme="majorHAnsi" w:eastAsiaTheme="majorEastAsia" w:hAnsiTheme="majorHAnsi" w:cstheme="majorBidi"/>
      <w:b/>
      <w:iCs/>
      <w:color w:val="005CB9"/>
      <w:sz w:val="28"/>
      <w:szCs w:val="20"/>
    </w:rPr>
  </w:style>
  <w:style w:type="numbering" w:customStyle="1" w:styleId="HHSBullets">
    <w:name w:val="HHS Bullets"/>
    <w:uiPriority w:val="99"/>
    <w:rsid w:val="00A05C85"/>
    <w:pPr>
      <w:numPr>
        <w:numId w:val="2"/>
      </w:numPr>
    </w:pPr>
  </w:style>
  <w:style w:type="table" w:customStyle="1" w:styleId="HHSFinancialData">
    <w:name w:val="HHS Financial Data"/>
    <w:basedOn w:val="AccessibleBaseforTables"/>
    <w:uiPriority w:val="99"/>
    <w:rsid w:val="0000543F"/>
    <w:pPr>
      <w:jc w:val="right"/>
    </w:pPr>
    <w:rPr>
      <w:szCs w:val="20"/>
    </w:rPr>
    <w:tblPr>
      <w:tblStyleRowBandSize w:val="1"/>
      <w:tblStyleColBandSize w:val="1"/>
      <w:tblBorders>
        <w:top w:val="single" w:sz="2" w:space="0" w:color="022167" w:themeColor="text1"/>
        <w:left w:val="single" w:sz="2" w:space="0" w:color="022167" w:themeColor="text1"/>
        <w:bottom w:val="single" w:sz="2" w:space="0" w:color="022167" w:themeColor="text1"/>
        <w:right w:val="single" w:sz="2" w:space="0" w:color="022167" w:themeColor="text1"/>
        <w:insideH w:val="single" w:sz="2" w:space="0" w:color="022167" w:themeColor="text1"/>
        <w:insideV w:val="single" w:sz="2" w:space="0" w:color="022167" w:themeColor="text1"/>
      </w:tblBorders>
    </w:tblPr>
    <w:tcPr>
      <w:vAlign w:val="bottom"/>
    </w:tcPr>
    <w:tblStylePr w:type="firstRow">
      <w:pPr>
        <w:wordWrap/>
        <w:jc w:val="center"/>
      </w:pPr>
      <w:rPr>
        <w:rFonts w:asciiTheme="minorHAnsi" w:hAnsiTheme="minorHAnsi"/>
        <w:b/>
        <w:sz w:val="20"/>
      </w:rPr>
      <w:tblPr/>
      <w:trPr>
        <w:tblHeader/>
      </w:trPr>
      <w:tcPr>
        <w:shd w:val="clear" w:color="auto" w:fill="C4DDF4" w:themeFill="accent1" w:themeFillTint="66"/>
        <w:vAlign w:val="bottom"/>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0" w:type="dxa"/>
          <w:left w:w="0" w:type="dxa"/>
          <w:bottom w:w="0" w:type="dxa"/>
          <w:right w:w="0" w:type="dxa"/>
        </w:tcMar>
        <w:vAlign w:val="bottom"/>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center"/>
      </w:pPr>
      <w:tblPr/>
      <w:tcPr>
        <w:vAlign w:val="bottom"/>
      </w:tcPr>
    </w:tblStylePr>
    <w:tblStylePr w:type="swCell">
      <w:pPr>
        <w:jc w:val="left"/>
      </w:pPr>
      <w:tblPr/>
      <w:trPr>
        <w:cantSplit w:val="0"/>
      </w:trPr>
      <w:tcPr>
        <w:vAlign w:val="bottom"/>
      </w:tcPr>
    </w:tblStylePr>
  </w:style>
  <w:style w:type="numbering" w:customStyle="1" w:styleId="HHSHeadingNumbering">
    <w:name w:val="HHS Heading Numbering"/>
    <w:uiPriority w:val="99"/>
    <w:rsid w:val="00D16536"/>
    <w:pPr>
      <w:numPr>
        <w:numId w:val="1"/>
      </w:numPr>
    </w:pPr>
  </w:style>
  <w:style w:type="numbering" w:customStyle="1" w:styleId="HHSNumbering">
    <w:name w:val="HHS Numbering"/>
    <w:uiPriority w:val="99"/>
    <w:rsid w:val="00A05C85"/>
    <w:pPr>
      <w:numPr>
        <w:numId w:val="3"/>
      </w:numPr>
    </w:pPr>
  </w:style>
  <w:style w:type="table" w:customStyle="1" w:styleId="HHSTableforTextData">
    <w:name w:val="HHS Table for Text Data"/>
    <w:basedOn w:val="AccessibleBaseforTables"/>
    <w:uiPriority w:val="99"/>
    <w:rsid w:val="00063D03"/>
    <w:rPr>
      <w:szCs w:val="20"/>
    </w:rPr>
    <w:tblPr>
      <w:tblStyleRowBandSize w:val="1"/>
      <w:tblStyleColBandSize w:val="1"/>
      <w:tblBorders>
        <w:top w:val="single" w:sz="4" w:space="0" w:color="022167" w:themeColor="text1"/>
        <w:left w:val="single" w:sz="4" w:space="0" w:color="022167" w:themeColor="text1"/>
        <w:bottom w:val="single" w:sz="4" w:space="0" w:color="022167" w:themeColor="text1"/>
        <w:right w:val="single" w:sz="4" w:space="0" w:color="022167" w:themeColor="text1"/>
        <w:insideH w:val="single" w:sz="4" w:space="0" w:color="022167" w:themeColor="text1"/>
        <w:insideV w:val="single" w:sz="4" w:space="0" w:color="022167" w:themeColor="text1"/>
      </w:tblBorders>
    </w:tblPr>
    <w:tblStylePr w:type="firstRow">
      <w:pPr>
        <w:wordWrap/>
        <w:jc w:val="center"/>
      </w:pPr>
      <w:rPr>
        <w:b/>
      </w:rPr>
      <w:tblPr/>
      <w:trPr>
        <w:tblHeader/>
      </w:trPr>
      <w:tcPr>
        <w:shd w:val="clear" w:color="auto" w:fill="C4DDF4" w:themeFill="accent1" w:themeFillTint="66"/>
        <w:vAlign w:val="bottom"/>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Pr/>
      <w:tcPr>
        <w:shd w:val="clear" w:color="auto" w:fill="E1EEF9" w:themeFill="accent1" w:themeFillTint="33"/>
      </w:tcPr>
    </w:tblStylePr>
  </w:style>
  <w:style w:type="character" w:styleId="Hyperlink">
    <w:name w:val="Hyperlink"/>
    <w:uiPriority w:val="4"/>
    <w:rsid w:val="00A05C85"/>
    <w:rPr>
      <w:rFonts w:asciiTheme="minorHAnsi" w:hAnsiTheme="minorHAnsi" w:cs="Times New Roman" w:hint="default"/>
      <w:color w:val="0965D5"/>
      <w:u w:val="single"/>
    </w:rPr>
  </w:style>
  <w:style w:type="table" w:customStyle="1" w:styleId="ListofAcronyms">
    <w:name w:val="List of Acronyms"/>
    <w:basedOn w:val="TableNormal"/>
    <w:uiPriority w:val="99"/>
    <w:rsid w:val="00F54A70"/>
    <w:tblPr>
      <w:tblStyleRowBandSize w:val="1"/>
    </w:tblPr>
    <w:tblStylePr w:type="firstRow">
      <w:rPr>
        <w:b/>
        <w:i w:val="0"/>
      </w:rPr>
      <w:tblPr/>
      <w:trPr>
        <w:cantSplit/>
        <w:tblHeader/>
      </w:trPr>
      <w:tcPr>
        <w:tcBorders>
          <w:top w:val="nil"/>
          <w:left w:val="nil"/>
          <w:bottom w:val="nil"/>
          <w:right w:val="nil"/>
          <w:insideH w:val="nil"/>
          <w:insideV w:val="nil"/>
          <w:tl2br w:val="nil"/>
          <w:tr2bl w:val="nil"/>
        </w:tcBorders>
      </w:tcPr>
    </w:tblStylePr>
    <w:tblStylePr w:type="band1Horz">
      <w:tblPr/>
      <w:tcPr>
        <w:tcBorders>
          <w:top w:val="single" w:sz="4" w:space="0" w:color="auto"/>
          <w:left w:val="nil"/>
          <w:bottom w:val="nil"/>
          <w:right w:val="nil"/>
          <w:insideH w:val="nil"/>
          <w:insideV w:val="nil"/>
          <w:tl2br w:val="nil"/>
          <w:tr2bl w:val="nil"/>
        </w:tcBorders>
      </w:tcPr>
    </w:tblStylePr>
    <w:tblStylePr w:type="band2Horz">
      <w:tblPr/>
      <w:tcPr>
        <w:tcBorders>
          <w:top w:val="single" w:sz="4" w:space="0" w:color="auto"/>
          <w:left w:val="nil"/>
          <w:bottom w:val="nil"/>
          <w:right w:val="nil"/>
          <w:insideH w:val="nil"/>
          <w:insideV w:val="nil"/>
          <w:tl2br w:val="nil"/>
          <w:tr2bl w:val="nil"/>
        </w:tcBorders>
      </w:tcPr>
    </w:tblStylePr>
  </w:style>
  <w:style w:type="table" w:styleId="TableGrid">
    <w:name w:val="Table Grid"/>
    <w:basedOn w:val="TableNormal"/>
    <w:uiPriority w:val="39"/>
    <w:rsid w:val="0006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5070"/>
    <w:pPr>
      <w:spacing w:before="240"/>
      <w:ind w:left="180" w:hanging="180"/>
      <w:contextualSpacing/>
    </w:pPr>
    <w:rPr>
      <w:sz w:val="18"/>
    </w:rPr>
  </w:style>
  <w:style w:type="character" w:customStyle="1" w:styleId="EndnoteTextChar">
    <w:name w:val="Endnote Text Char"/>
    <w:basedOn w:val="DefaultParagraphFont"/>
    <w:link w:val="EndnoteText"/>
    <w:uiPriority w:val="99"/>
    <w:semiHidden/>
    <w:rsid w:val="00C55070"/>
    <w:rPr>
      <w:sz w:val="18"/>
      <w:szCs w:val="20"/>
    </w:rPr>
  </w:style>
  <w:style w:type="paragraph" w:styleId="TOC3">
    <w:name w:val="toc 3"/>
    <w:basedOn w:val="Normal"/>
    <w:next w:val="Normal"/>
    <w:uiPriority w:val="1"/>
    <w:semiHidden/>
    <w:rsid w:val="00A73EF7"/>
    <w:pPr>
      <w:spacing w:after="100"/>
      <w:ind w:left="440"/>
    </w:pPr>
    <w:rPr>
      <w:rFonts w:asciiTheme="majorHAnsi" w:hAnsiTheme="majorHAnsi"/>
    </w:rPr>
  </w:style>
  <w:style w:type="paragraph" w:styleId="TOC4">
    <w:name w:val="toc 4"/>
    <w:basedOn w:val="Normal"/>
    <w:next w:val="Normal"/>
    <w:uiPriority w:val="1"/>
    <w:semiHidden/>
    <w:rsid w:val="00A73EF7"/>
    <w:pPr>
      <w:spacing w:after="100"/>
      <w:ind w:left="660"/>
    </w:pPr>
    <w:rPr>
      <w:rFonts w:asciiTheme="majorHAnsi" w:hAnsiTheme="majorHAnsi"/>
    </w:rPr>
  </w:style>
  <w:style w:type="paragraph" w:styleId="TOC5">
    <w:name w:val="toc 5"/>
    <w:basedOn w:val="Normal"/>
    <w:next w:val="Normal"/>
    <w:uiPriority w:val="1"/>
    <w:semiHidden/>
    <w:rsid w:val="00A73EF7"/>
    <w:pPr>
      <w:spacing w:after="100"/>
      <w:ind w:left="880"/>
    </w:pPr>
    <w:rPr>
      <w:rFonts w:asciiTheme="majorHAnsi" w:hAnsiTheme="majorHAnsi"/>
    </w:rPr>
  </w:style>
  <w:style w:type="paragraph" w:styleId="TOC6">
    <w:name w:val="toc 6"/>
    <w:basedOn w:val="Normal"/>
    <w:next w:val="Normal"/>
    <w:uiPriority w:val="1"/>
    <w:semiHidden/>
    <w:rsid w:val="00A73EF7"/>
    <w:pPr>
      <w:spacing w:after="100"/>
      <w:ind w:left="1100"/>
    </w:pPr>
    <w:rPr>
      <w:rFonts w:asciiTheme="majorHAnsi" w:hAnsiTheme="majorHAnsi"/>
    </w:rPr>
  </w:style>
  <w:style w:type="paragraph" w:styleId="Quote">
    <w:name w:val="Quote"/>
    <w:link w:val="QuoteChar"/>
    <w:uiPriority w:val="6"/>
    <w:qFormat/>
    <w:rsid w:val="00660E58"/>
    <w:pPr>
      <w:spacing w:before="200" w:after="160" w:line="288" w:lineRule="auto"/>
      <w:ind w:left="864" w:right="864"/>
      <w:jc w:val="center"/>
    </w:pPr>
    <w:rPr>
      <w:i/>
      <w:iCs/>
      <w:color w:val="0440CA" w:themeColor="text1" w:themeTint="BF"/>
      <w:szCs w:val="20"/>
    </w:rPr>
  </w:style>
  <w:style w:type="character" w:customStyle="1" w:styleId="QuoteChar">
    <w:name w:val="Quote Char"/>
    <w:basedOn w:val="DefaultParagraphFont"/>
    <w:link w:val="Quote"/>
    <w:uiPriority w:val="6"/>
    <w:rsid w:val="00660E58"/>
    <w:rPr>
      <w:i/>
      <w:iCs/>
      <w:color w:val="0440CA" w:themeColor="text1" w:themeTint="BF"/>
      <w:szCs w:val="20"/>
    </w:rPr>
  </w:style>
  <w:style w:type="character" w:styleId="UnresolvedMention">
    <w:name w:val="Unresolved Mention"/>
    <w:basedOn w:val="DefaultParagraphFont"/>
    <w:uiPriority w:val="99"/>
    <w:semiHidden/>
    <w:unhideWhenUsed/>
    <w:rsid w:val="00CC5572"/>
    <w:rPr>
      <w:color w:val="808080"/>
      <w:shd w:val="clear" w:color="auto" w:fill="E6E6E6"/>
    </w:rPr>
  </w:style>
  <w:style w:type="numbering" w:customStyle="1" w:styleId="Appendixes">
    <w:name w:val="Appendixes"/>
    <w:uiPriority w:val="99"/>
    <w:rsid w:val="005F54F5"/>
    <w:pPr>
      <w:numPr>
        <w:numId w:val="4"/>
      </w:numPr>
    </w:pPr>
  </w:style>
  <w:style w:type="paragraph" w:styleId="Header">
    <w:name w:val="header"/>
    <w:basedOn w:val="Normal"/>
    <w:link w:val="HeaderChar"/>
    <w:uiPriority w:val="7"/>
    <w:unhideWhenUsed/>
    <w:rsid w:val="00D072AE"/>
    <w:pPr>
      <w:pBdr>
        <w:bottom w:val="single" w:sz="4" w:space="1" w:color="auto"/>
      </w:pBdr>
      <w:tabs>
        <w:tab w:val="center" w:pos="4680"/>
        <w:tab w:val="right" w:pos="9360"/>
      </w:tabs>
      <w:spacing w:before="240"/>
    </w:pPr>
  </w:style>
  <w:style w:type="character" w:customStyle="1" w:styleId="HeaderChar">
    <w:name w:val="Header Char"/>
    <w:basedOn w:val="DefaultParagraphFont"/>
    <w:link w:val="Header"/>
    <w:uiPriority w:val="7"/>
    <w:rsid w:val="002236D2"/>
    <w:rPr>
      <w:szCs w:val="20"/>
    </w:rPr>
  </w:style>
  <w:style w:type="paragraph" w:styleId="TOC1">
    <w:name w:val="toc 1"/>
    <w:basedOn w:val="Normal"/>
    <w:next w:val="Normal"/>
    <w:uiPriority w:val="1"/>
    <w:semiHidden/>
    <w:rsid w:val="00BA3755"/>
    <w:pPr>
      <w:spacing w:before="240"/>
    </w:pPr>
    <w:rPr>
      <w:rFonts w:asciiTheme="majorHAnsi" w:hAnsiTheme="majorHAnsi"/>
      <w:b/>
    </w:rPr>
  </w:style>
  <w:style w:type="character" w:styleId="FollowedHyperlink">
    <w:name w:val="FollowedHyperlink"/>
    <w:basedOn w:val="DefaultParagraphFont"/>
    <w:uiPriority w:val="99"/>
    <w:semiHidden/>
    <w:unhideWhenUsed/>
    <w:rsid w:val="008D00BD"/>
    <w:rPr>
      <w:color w:val="0965D5" w:themeColor="followedHyperlink"/>
      <w:u w:val="single"/>
    </w:rPr>
  </w:style>
  <w:style w:type="paragraph" w:styleId="BalloonText">
    <w:name w:val="Balloon Text"/>
    <w:basedOn w:val="Normal"/>
    <w:link w:val="BalloonTextChar"/>
    <w:uiPriority w:val="99"/>
    <w:semiHidden/>
    <w:unhideWhenUsed/>
    <w:rsid w:val="00BE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B2"/>
    <w:rPr>
      <w:rFonts w:ascii="Segoe UI" w:hAnsi="Segoe UI" w:cs="Segoe UI"/>
      <w:sz w:val="18"/>
      <w:szCs w:val="18"/>
    </w:rPr>
  </w:style>
  <w:style w:type="paragraph" w:styleId="FootnoteText">
    <w:name w:val="footnote text"/>
    <w:basedOn w:val="Normal"/>
    <w:link w:val="FootnoteTextChar"/>
    <w:uiPriority w:val="99"/>
    <w:semiHidden/>
    <w:unhideWhenUsed/>
    <w:rsid w:val="00BE23B2"/>
    <w:rPr>
      <w:sz w:val="20"/>
    </w:rPr>
  </w:style>
  <w:style w:type="character" w:customStyle="1" w:styleId="FootnoteTextChar">
    <w:name w:val="Footnote Text Char"/>
    <w:basedOn w:val="DefaultParagraphFont"/>
    <w:link w:val="FootnoteText"/>
    <w:uiPriority w:val="99"/>
    <w:semiHidden/>
    <w:rsid w:val="00BE23B2"/>
    <w:rPr>
      <w:sz w:val="20"/>
      <w:szCs w:val="20"/>
    </w:rPr>
  </w:style>
  <w:style w:type="character" w:styleId="FootnoteReference">
    <w:name w:val="footnote reference"/>
    <w:basedOn w:val="DefaultParagraphFont"/>
    <w:uiPriority w:val="99"/>
    <w:semiHidden/>
    <w:unhideWhenUsed/>
    <w:rsid w:val="00BE23B2"/>
    <w:rPr>
      <w:vertAlign w:val="superscript"/>
    </w:rPr>
  </w:style>
  <w:style w:type="character" w:styleId="CommentReference">
    <w:name w:val="annotation reference"/>
    <w:basedOn w:val="DefaultParagraphFont"/>
    <w:uiPriority w:val="99"/>
    <w:semiHidden/>
    <w:unhideWhenUsed/>
    <w:rsid w:val="00E168FC"/>
    <w:rPr>
      <w:sz w:val="16"/>
      <w:szCs w:val="16"/>
    </w:rPr>
  </w:style>
  <w:style w:type="paragraph" w:styleId="CommentText">
    <w:name w:val="annotation text"/>
    <w:basedOn w:val="Normal"/>
    <w:link w:val="CommentTextChar"/>
    <w:uiPriority w:val="99"/>
    <w:semiHidden/>
    <w:unhideWhenUsed/>
    <w:rsid w:val="00E168FC"/>
    <w:rPr>
      <w:sz w:val="20"/>
    </w:rPr>
  </w:style>
  <w:style w:type="character" w:customStyle="1" w:styleId="CommentTextChar">
    <w:name w:val="Comment Text Char"/>
    <w:basedOn w:val="DefaultParagraphFont"/>
    <w:link w:val="CommentText"/>
    <w:uiPriority w:val="99"/>
    <w:semiHidden/>
    <w:rsid w:val="00E168FC"/>
    <w:rPr>
      <w:sz w:val="20"/>
      <w:szCs w:val="20"/>
    </w:rPr>
  </w:style>
  <w:style w:type="paragraph" w:styleId="CommentSubject">
    <w:name w:val="annotation subject"/>
    <w:basedOn w:val="CommentText"/>
    <w:next w:val="CommentText"/>
    <w:link w:val="CommentSubjectChar"/>
    <w:uiPriority w:val="99"/>
    <w:semiHidden/>
    <w:unhideWhenUsed/>
    <w:rsid w:val="00E168FC"/>
    <w:rPr>
      <w:b/>
      <w:bCs/>
    </w:rPr>
  </w:style>
  <w:style w:type="character" w:customStyle="1" w:styleId="CommentSubjectChar">
    <w:name w:val="Comment Subject Char"/>
    <w:basedOn w:val="CommentTextChar"/>
    <w:link w:val="CommentSubject"/>
    <w:uiPriority w:val="99"/>
    <w:semiHidden/>
    <w:rsid w:val="00E168FC"/>
    <w:rPr>
      <w:b/>
      <w:bCs/>
      <w:sz w:val="20"/>
      <w:szCs w:val="20"/>
    </w:rPr>
  </w:style>
  <w:style w:type="paragraph" w:styleId="Footer">
    <w:name w:val="footer"/>
    <w:basedOn w:val="Normal"/>
    <w:link w:val="FooterChar"/>
    <w:uiPriority w:val="7"/>
    <w:unhideWhenUsed/>
    <w:rsid w:val="00D072AE"/>
    <w:pPr>
      <w:pBdr>
        <w:top w:val="single" w:sz="4" w:space="1" w:color="auto"/>
      </w:pBdr>
      <w:tabs>
        <w:tab w:val="center" w:pos="4680"/>
        <w:tab w:val="right" w:pos="9360"/>
      </w:tabs>
      <w:spacing w:before="240"/>
    </w:pPr>
  </w:style>
  <w:style w:type="character" w:customStyle="1" w:styleId="FooterChar">
    <w:name w:val="Footer Char"/>
    <w:basedOn w:val="DefaultParagraphFont"/>
    <w:link w:val="Footer"/>
    <w:uiPriority w:val="7"/>
    <w:rsid w:val="002236D2"/>
    <w:rPr>
      <w:szCs w:val="20"/>
    </w:rPr>
  </w:style>
  <w:style w:type="paragraph" w:styleId="TOC2">
    <w:name w:val="toc 2"/>
    <w:basedOn w:val="Normal"/>
    <w:next w:val="Normal"/>
    <w:uiPriority w:val="1"/>
    <w:semiHidden/>
    <w:rsid w:val="006B00B9"/>
    <w:pPr>
      <w:ind w:left="216"/>
    </w:pPr>
    <w:rPr>
      <w:rFonts w:asciiTheme="majorHAnsi" w:hAnsiTheme="majorHAnsi"/>
    </w:rPr>
  </w:style>
  <w:style w:type="character" w:customStyle="1" w:styleId="TOCHeadingChar">
    <w:name w:val="TOC Heading Char"/>
    <w:basedOn w:val="DefaultParagraphFont"/>
    <w:link w:val="TOCHeading"/>
    <w:uiPriority w:val="1"/>
    <w:rsid w:val="00660E58"/>
    <w:rPr>
      <w:rFonts w:asciiTheme="majorHAnsi" w:eastAsia="Times New Roman" w:hAnsiTheme="majorHAnsi" w:cs="Times New Roman"/>
      <w:b/>
      <w:sz w:val="40"/>
      <w:szCs w:val="24"/>
    </w:rPr>
  </w:style>
  <w:style w:type="paragraph" w:styleId="Revision">
    <w:name w:val="Revision"/>
    <w:hidden/>
    <w:uiPriority w:val="99"/>
    <w:semiHidden/>
    <w:rsid w:val="002716C8"/>
    <w:rPr>
      <w:szCs w:val="20"/>
    </w:rPr>
  </w:style>
  <w:style w:type="character" w:styleId="Mention">
    <w:name w:val="Mention"/>
    <w:basedOn w:val="DefaultParagraphFont"/>
    <w:uiPriority w:val="99"/>
    <w:unhideWhenUsed/>
    <w:rsid w:val="00634E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texas.gov/sites/default/files/documents/doing-business-with-hhs/provider-portal/resources/electronic-visit-verification/programs-services-service-delivery-options.pdf" TargetMode="External"/><Relationship Id="rId18" Type="http://schemas.openxmlformats.org/officeDocument/2006/relationships/hyperlink" Target="https://www.tmhp.com/topics/evv/evv-proprietary-systems" TargetMode="External"/><Relationship Id="rId26" Type="http://schemas.openxmlformats.org/officeDocument/2006/relationships/hyperlink" Target="https://www.tmhp.com/topics/evv" TargetMode="External"/><Relationship Id="rId3" Type="http://schemas.openxmlformats.org/officeDocument/2006/relationships/customXml" Target="../customXml/item3.xml"/><Relationship Id="rId21" Type="http://schemas.openxmlformats.org/officeDocument/2006/relationships/hyperlink" Target="https://www.hhs.texas.gov/regulations/forms/1000-1999/form-1722-employers-selection-electronic-visit-verification-responsibilit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hs.texas.gov/sites/default/files/documents/doing-business-with-hhs/provider-portal/resources/electronic-visit-verification/programs-services-service-delivery-options.pdf" TargetMode="External"/><Relationship Id="rId17" Type="http://schemas.openxmlformats.org/officeDocument/2006/relationships/hyperlink" Target="https://www.hhaexchange.com/info-hub/texas" TargetMode="External"/><Relationship Id="rId25" Type="http://schemas.openxmlformats.org/officeDocument/2006/relationships/hyperlink" Target="https://www.hhs.texas.gov/providers/long-term-care-providers/long-term-care-provider-resources/electronic-visit-verification/21st-century-cures-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hs.texas.gov/handbooks/electronic-visit-verification-policy-handbook/4000-evv-system-setup" TargetMode="External"/><Relationship Id="rId20" Type="http://schemas.openxmlformats.org/officeDocument/2006/relationships/hyperlink" Target="https://www.tmhp.com/sites/default/files/file-library/evv/evv-proprietary-systems/EVV-Proprietary-Systems-Undergoing-ORR.pdf" TargetMode="External"/><Relationship Id="rId29" Type="http://schemas.openxmlformats.org/officeDocument/2006/relationships/hyperlink" Target="mailto:EVV@hhs.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texas.gov/sites/default/files/documents/doing-business-with-hhs/providers/long-term-care/evv/programs-services-required-evv.pdf" TargetMode="External"/><Relationship Id="rId24" Type="http://schemas.openxmlformats.org/officeDocument/2006/relationships/hyperlink" Target="https://www.hhs.texas.gov/providers/long-term-care-providers/long-term-care-provider-resources/electronic-visit-verificatio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hhs.texas.gov/sites/default/files/documents/doing-business-with-hhs/providers/long-term-care/evv/evv-required-training-checklist.pdf" TargetMode="External"/><Relationship Id="rId23" Type="http://schemas.openxmlformats.org/officeDocument/2006/relationships/hyperlink" Target="https://public.govdelivery.com/accounts/TXHHSC/subscriber/new?topic_id=TXHHSC_247" TargetMode="External"/><Relationship Id="rId28" Type="http://schemas.openxmlformats.org/officeDocument/2006/relationships/hyperlink" Target="mailto:TXsupport@hhaexchange.com" TargetMode="External"/><Relationship Id="rId10" Type="http://schemas.openxmlformats.org/officeDocument/2006/relationships/endnotes" Target="endnotes.xml"/><Relationship Id="rId19" Type="http://schemas.openxmlformats.org/officeDocument/2006/relationships/hyperlink" Target="https://www.tmhp.com/sites/default/files/file-library/evv/evv-proprietary-systems/EVV-Proprietary-Systems-Approved-by-HHSC.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texas.gov/handbooks/electronic-visit-verification-policy-handbook/4000-evv-system-setup" TargetMode="External"/><Relationship Id="rId22" Type="http://schemas.openxmlformats.org/officeDocument/2006/relationships/hyperlink" Target="https://www.hhs.texas.gov/sites/default/files/documents/doing-business-with-hhs/providers/long-term-care/evv/evv-required-training-checklist.pdf" TargetMode="External"/><Relationship Id="rId27" Type="http://schemas.openxmlformats.org/officeDocument/2006/relationships/hyperlink" Target="https://www.hhaexchange.com/info-hub/texas" TargetMode="External"/><Relationship Id="rId30" Type="http://schemas.openxmlformats.org/officeDocument/2006/relationships/header" Target="header1.xml"/><Relationship Id="rId35" Type="http://schemas.microsoft.com/office/2019/05/relationships/documenttasks" Target="documenttasks/documenttasks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ge.Montemayor01\Downloads\PDF_Template%20(9).dotx" TargetMode="External"/></Relationships>
</file>

<file path=word/documenttasks/documenttasks1.xml><?xml version="1.0" encoding="utf-8"?>
<t:Tasks xmlns:t="http://schemas.microsoft.com/office/tasks/2019/documenttasks" xmlns:oel="http://schemas.microsoft.com/office/2019/extlst">
  <t:Task id="{E429F9AA-E7A5-4284-80BB-9CC369543161}">
    <t:Anchor>
      <t:Comment id="715861064"/>
    </t:Anchor>
    <t:History>
      <t:Event id="{0060C3C5-82BA-4F6F-8571-33A986728DB3}" time="2023-05-03T15:07:42.903Z">
        <t:Attribution userId="S::jorge.montemayor@hhs.texas.gov::32d153e7-4586-4011-b919-59ee08f427f4" userProvider="AD" userName="Montemayor,Jorge (HHSC)"/>
        <t:Anchor>
          <t:Comment id="715861064"/>
        </t:Anchor>
        <t:Create/>
      </t:Event>
      <t:Event id="{F4075A47-8DC2-4073-93F4-CBD21C4342C2}" time="2023-05-03T15:07:42.903Z">
        <t:Attribution userId="S::jorge.montemayor@hhs.texas.gov::32d153e7-4586-4011-b919-59ee08f427f4" userProvider="AD" userName="Montemayor,Jorge (HHSC)"/>
        <t:Anchor>
          <t:Comment id="715861064"/>
        </t:Anchor>
        <t:Assign userId="S::Jordan.Nichols@hhs.texas.gov::4773bbc3-2f60-4c8a-a6ed-0b738c913b77" userProvider="AD" userName="Nichols,Jordan (HHSC)"/>
      </t:Event>
      <t:Event id="{0ACE70C4-494D-470F-921C-A588C5FA311F}" time="2023-05-03T15:07:42.903Z">
        <t:Attribution userId="S::jorge.montemayor@hhs.texas.gov::32d153e7-4586-4011-b919-59ee08f427f4" userProvider="AD" userName="Montemayor,Jorge (HHSC)"/>
        <t:Anchor>
          <t:Comment id="715861064"/>
        </t:Anchor>
        <t:SetTitle title="@Nichols,Jordan (HHSC) , should we put &quot;TMHP&quot; in parenthesis? Accenture State Healthcare Services LLC (TMHP)"/>
      </t:Event>
    </t:History>
  </t:Task>
</t:Task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391CD0E49EA54BAF896A33FE5B91EF" ma:contentTypeVersion="7" ma:contentTypeDescription="Create a new document." ma:contentTypeScope="" ma:versionID="71ef72cdc86409bb5f90631b02a96416">
  <xsd:schema xmlns:xsd="http://www.w3.org/2001/XMLSchema" xmlns:xs="http://www.w3.org/2001/XMLSchema" xmlns:p="http://schemas.microsoft.com/office/2006/metadata/properties" xmlns:ns1="http://schemas.microsoft.com/sharepoint/v3" xmlns:ns2="5faf4399-5c4c-4f98-a078-e6adea80aa82" xmlns:ns3="4258f409-72fc-4864-a9b8-c090a853676b" targetNamespace="http://schemas.microsoft.com/office/2006/metadata/properties" ma:root="true" ma:fieldsID="e2434716913403682333f2307f574d92" ns1:_="" ns2:_="" ns3:_="">
    <xsd:import namespace="http://schemas.microsoft.com/sharepoint/v3"/>
    <xsd:import namespace="5faf4399-5c4c-4f98-a078-e6adea80aa82"/>
    <xsd:import namespace="4258f409-72fc-4864-a9b8-c090a853676b"/>
    <xsd:element name="properties">
      <xsd:complexType>
        <xsd:sequence>
          <xsd:element name="documentManagement">
            <xsd:complexType>
              <xsd:all>
                <xsd:element ref="ns1:PercentComple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rcentComplete" ma:index="8" nillable="true" ma:displayName="% Complete" ma:hidden="true" ma:internalName="PercentComplete" ma:readOnly="fals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5faf4399-5c4c-4f98-a078-e6adea80aa8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8f409-72fc-4864-a9b8-c090a853676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centComplete xmlns="http://schemas.microsoft.com/sharepoint/v3" xsi:nil="true"/>
    <SharedWithUsers xmlns="4258f409-72fc-4864-a9b8-c090a853676b">
      <UserInfo>
        <DisplayName>Nichols,Jordan (HHSC)</DisplayName>
        <AccountId>136</AccountId>
        <AccountType/>
      </UserInfo>
      <UserInfo>
        <DisplayName>Kampman,Patrick (HHSC)</DisplayName>
        <AccountId>20088</AccountId>
        <AccountType/>
      </UserInfo>
      <UserInfo>
        <DisplayName>Brady,James (HHSC)</DisplayName>
        <AccountId>914</AccountId>
        <AccountType/>
      </UserInfo>
      <UserInfo>
        <DisplayName>Ortega,Arthur (HHSC)</DisplayName>
        <AccountId>7411</AccountId>
        <AccountType/>
      </UserInfo>
      <UserInfo>
        <DisplayName>Montemayor,Jorge (HHSC)</DisplayName>
        <AccountId>7918</AccountId>
        <AccountType/>
      </UserInfo>
      <UserInfo>
        <DisplayName>Harris,Rae (HHSC)</DisplayName>
        <AccountId>4231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1F723-A370-4FE6-8DD3-052DCA7C885D}">
  <ds:schemaRefs>
    <ds:schemaRef ds:uri="http://schemas.openxmlformats.org/officeDocument/2006/bibliography"/>
  </ds:schemaRefs>
</ds:datastoreItem>
</file>

<file path=customXml/itemProps2.xml><?xml version="1.0" encoding="utf-8"?>
<ds:datastoreItem xmlns:ds="http://schemas.openxmlformats.org/officeDocument/2006/customXml" ds:itemID="{CF359983-75A1-47A5-A71B-87448F1C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f4399-5c4c-4f98-a078-e6adea80aa82"/>
    <ds:schemaRef ds:uri="4258f409-72fc-4864-a9b8-c090a8536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2A209-4273-45C5-BB5E-E10F2CB71745}">
  <ds:schemaRefs>
    <ds:schemaRef ds:uri="http://schemas.microsoft.com/office/2006/metadata/properties"/>
    <ds:schemaRef ds:uri="http://schemas.microsoft.com/office/infopath/2007/PartnerControls"/>
    <ds:schemaRef ds:uri="http://schemas.microsoft.com/sharepoint/v3"/>
    <ds:schemaRef ds:uri="4258f409-72fc-4864-a9b8-c090a853676b"/>
  </ds:schemaRefs>
</ds:datastoreItem>
</file>

<file path=customXml/itemProps4.xml><?xml version="1.0" encoding="utf-8"?>
<ds:datastoreItem xmlns:ds="http://schemas.openxmlformats.org/officeDocument/2006/customXml" ds:itemID="{818CAF6E-6F09-4FC5-B514-8D0B57C40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PDF_Template (9)</Template>
  <TotalTime>2</TotalTime>
  <Pages>5</Pages>
  <Words>1586</Words>
  <Characters>8745</Characters>
  <Application>Microsoft Office Word</Application>
  <DocSecurity>0</DocSecurity>
  <Lines>174</Lines>
  <Paragraphs>87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EVV Vendor Transition Overview</vt:lpstr>
      <vt:lpstr>Electronic Visit Verification (EVV)</vt:lpstr>
      <vt:lpstr>EVV Vendor Transition Overview</vt:lpstr>
      <vt:lpstr>    Transition</vt:lpstr>
      <vt:lpstr>    EVV Cures Act Home Health Care Services Implementation</vt:lpstr>
      <vt:lpstr>    Training Requirements</vt:lpstr>
      <vt:lpstr>    Proprietary Systems</vt:lpstr>
      <vt:lpstr>    CDS Employer Option – Form 1722, CDS Employer's Selection for Electronic Visit V</vt:lpstr>
      <vt:lpstr>    Alternative Devices</vt:lpstr>
      <vt:lpstr>    Resources</vt:lpstr>
      <vt:lpstr>        HHSC</vt:lpstr>
      <vt:lpstr>        Accenture (TMHP)</vt:lpstr>
      <vt:lpstr>        HHAeXchange</vt:lpstr>
      <vt:lpstr>    Contact Information</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EVV Vendor Transition Overview</dc:title>
  <dc:subject/>
  <dc:creator>Markus Gudino</dc:creator>
  <cp:keywords/>
  <dc:description/>
  <cp:lastModifiedBy>Markus Gudino</cp:lastModifiedBy>
  <cp:revision>3</cp:revision>
  <cp:lastPrinted>2023-05-03T20:12:00Z</cp:lastPrinted>
  <dcterms:created xsi:type="dcterms:W3CDTF">2023-05-11T13:50:00Z</dcterms:created>
  <dcterms:modified xsi:type="dcterms:W3CDTF">2023-05-11T13:51:00Z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0x010100CD391CD0E49EA54BAF896A33FE5B91EF</vt:lpwstr>
  </property>
  <property fmtid="{D5CDD505-2E9C-101B-9397-08002B2CF9AE}" pid="3" name="GrammarlyDocumentId">
    <vt:lpwstr>0337f057995028bfe08386d6a1a209cedc516764dc491378d1ff2498179e7ae0</vt:lpwstr>
  </property>
</Properties>
</file>